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obio-20260630x10q.htm"/>
        <w:bookmarkStart w:id="1" w:name="ksobio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pBdr>
        <w:bidi w:val="0"/>
        <w:spacing w:before="0" w:after="240"/>
        <w:ind w:left="0" w:right="0" w:hanging="0"/>
        <w:jc w:val="center"/>
        <w:rPr/>
      </w:pPr>
      <w:r>
        <w:rPr/>
        <w:t>​</w:t>
      </w:r>
    </w:p>
    <w:p>
      <w:pPr>
        <w:pStyle w:val="TextBody"/>
        <w:pBdr>
          <w:bottom w:val="single" w:sz="8" w:space="1" w:color="000000"/>
        </w:pBdr>
        <w:bidi w:val="0"/>
        <w:spacing w:before="0" w:after="240"/>
        <w:ind w:left="0" w:right="0" w:hanging="0"/>
        <w:jc w:val="center"/>
        <w:rPr/>
      </w:pPr>
      <w:bookmarkStart w:id="2" w:name="_167d504c_388f_4f12_99f0_967e7b8a31a4"/>
      <w:bookmarkEnd w:id="2"/>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pBdr>
          <w:top w:val="single" w:sz="2" w:space="1" w:color="000000"/>
        </w:pBdr>
        <w:bidi w:val="0"/>
        <w:spacing w:before="0" w:after="240"/>
        <w:ind w:left="0" w:right="0" w:hanging="0"/>
        <w:jc w:val="center"/>
        <w:rPr/>
      </w:pPr>
      <w:r>
        <w:rPr/>
        <w:t>​</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pBdr>
          <w:bottom w:val="single" w:sz="2"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100"/>
        <w:ind w:left="0" w:right="0" w:hanging="0"/>
        <w:jc w:val="center"/>
        <w:rPr/>
      </w:pPr>
      <w:r>
        <w:rPr/>
        <w:t xml:space="preserve">☒ </w:t>
      </w:r>
      <w:r>
        <w:rPr>
          <w:rFonts w:ascii="Times New Roman;Times;serif" w:hAnsi="Times New Roman;Times;serif"/>
          <w:b/>
          <w:sz w:val="16"/>
        </w:rPr>
        <w:t>QUARTERLY REPORT PURSUANT TO SECTION 13 OR 15(d) OF THE SECURITIES EXCHANGE ACT OF 1934</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June 30, 2026</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100"/>
        <w:ind w:left="0" w:right="0" w:hanging="0"/>
        <w:jc w:val="center"/>
        <w:rPr/>
      </w:pPr>
      <w:r>
        <w:rPr/>
        <w:t xml:space="preserve">☐ </w:t>
      </w:r>
      <w:r>
        <w:rPr>
          <w:rFonts w:ascii="Times New Roman;Times;serif" w:hAnsi="Times New Roman;Times;serif"/>
          <w:b/>
          <w:sz w:val="16"/>
        </w:rPr>
        <w:t>TRANSITION REPORT PURSUANT TO SECTION 13 OR 15(d) OF THE SECURITIES EXCHANGE ACT OF 1934</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__________________ to __________________</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Commission file number: 001-39421</w:t>
      </w:r>
    </w:p>
    <w:p>
      <w:pPr>
        <w:pStyle w:val="TextBody"/>
        <w:bidi w:val="0"/>
        <w:spacing w:before="0" w:after="0"/>
        <w:ind w:left="0" w:right="0" w:hanging="0"/>
        <w:jc w:val="center"/>
        <w:rPr/>
      </w:pPr>
      <w:r>
        <w:rPr/>
        <w:drawing>
          <wp:inline distT="0" distB="0" distL="0" distR="0">
            <wp:extent cx="2743200" cy="10058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1005840"/>
                    </a:xfrm>
                    <a:prstGeom prst="rect">
                      <a:avLst/>
                    </a:prstGeom>
                  </pic:spPr>
                </pic:pic>
              </a:graphicData>
            </a:graphic>
          </wp:inline>
        </w:drawing>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ORCHESTRA BIOMED HOLDINGS, INC.</w:t>
      </w:r>
    </w:p>
    <w:p>
      <w:pPr>
        <w:pStyle w:val="TextBody"/>
        <w:bidi w:val="0"/>
        <w:spacing w:before="0" w:after="20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Normal"/>
        <w:bidi w:val="0"/>
        <w:spacing w:before="0" w:after="0"/>
        <w:jc w:val="left"/>
        <w:rPr>
          <w:sz w:val="4"/>
          <w:szCs w:val="4"/>
        </w:rPr>
      </w:pPr>
      <w:r>
        <w:rPr>
          <w:sz w:val="4"/>
          <w:szCs w:val="4"/>
        </w:rPr>
      </w:r>
      <w:bookmarkStart w:id="3" w:name="Tc_jdnjXAOigkmMDF4qr8JDtw_2_2"/>
      <w:bookmarkStart w:id="4" w:name="Tc_SETbmqtm_kiWWcXVq8jUsw_2_0"/>
      <w:bookmarkStart w:id="5" w:name="_9f0a1fae_d1c6_4d23_820d_eeec3c1e1218"/>
      <w:bookmarkStart w:id="6" w:name="Tc_jdnjXAOigkmMDF4qr8JDtw_2_2"/>
      <w:bookmarkStart w:id="7" w:name="Tc_SETbmqtm_kiWWcXVq8jUsw_2_0"/>
      <w:bookmarkStart w:id="8" w:name="_9f0a1fae_d1c6_4d23_820d_eeec3c1e1218"/>
      <w:bookmarkEnd w:id="6"/>
      <w:bookmarkEnd w:id="7"/>
      <w:bookmarkEnd w:id="8"/>
    </w:p>
    <w:tbl>
      <w:tblPr>
        <w:tblW w:w="4143" w:type="dxa"/>
        <w:jc w:val="left"/>
        <w:tblInd w:w="0" w:type="dxa"/>
        <w:tblLayout w:type="fixed"/>
        <w:tblCellMar>
          <w:top w:w="0" w:type="dxa"/>
          <w:left w:w="0" w:type="dxa"/>
          <w:bottom w:w="0" w:type="dxa"/>
          <w:right w:w="0" w:type="dxa"/>
        </w:tblCellMar>
      </w:tblPr>
      <w:tblGrid>
        <w:gridCol w:w="2371"/>
        <w:gridCol w:w="286"/>
        <w:gridCol w:w="1486"/>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before="0" w:after="283"/>
              <w:ind w:left="0" w:right="0" w:hanging="0"/>
              <w:jc w:val="left"/>
              <w:rPr>
                <w:sz w:val="4"/>
                <w:szCs w:val="4"/>
              </w:rPr>
            </w:pPr>
            <w:r>
              <w:rPr>
                <w:sz w:val="4"/>
                <w:szCs w:val="4"/>
              </w:rPr>
            </w:r>
          </w:p>
        </w:tc>
        <w:tc>
          <w:tcPr>
            <w:tcW w:w="1486" w:type="dxa"/>
            <w:tcBorders/>
            <w:vAlign w:val="center"/>
          </w:tcPr>
          <w:p>
            <w:pPr>
              <w:pStyle w:val="TableContents"/>
              <w:bidi w:val="0"/>
              <w:spacing w:before="0" w:after="283"/>
              <w:ind w:left="0" w:right="0" w:hanging="0"/>
              <w:jc w:val="left"/>
              <w:rPr>
                <w:sz w:val="4"/>
                <w:szCs w:val="4"/>
              </w:rPr>
            </w:pPr>
            <w:r>
              <w:rPr>
                <w:sz w:val="4"/>
                <w:szCs w:val="4"/>
              </w:rPr>
            </w:r>
          </w:p>
        </w:tc>
      </w:tr>
      <w:tr>
        <w:trPr/>
        <w:tc>
          <w:tcPr>
            <w:tcW w:w="2371" w:type="dxa"/>
            <w:tcBorders>
              <w:bottom w:val="single" w:sz="2" w:space="0" w:color="000000"/>
            </w:tcBorders>
            <w:tcMar>
              <w:bottom w:w="29"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286" w:type="dxa"/>
            <w:tcBorders/>
            <w:vAlign w:val="center"/>
          </w:tcPr>
          <w:p>
            <w:pPr>
              <w:pStyle w:val="TableContents"/>
              <w:bidi w:val="0"/>
              <w:spacing w:before="0" w:after="0"/>
              <w:ind w:left="0" w:right="0" w:hanging="0"/>
              <w:jc w:val="left"/>
              <w:rPr/>
            </w:pPr>
            <w:r>
              <w:rPr/>
              <w:t>  ​ ​</w:t>
            </w:r>
          </w:p>
        </w:tc>
        <w:tc>
          <w:tcPr>
            <w:tcW w:w="1486" w:type="dxa"/>
            <w:tcBorders>
              <w:bottom w:val="single" w:sz="2" w:space="0" w:color="000000"/>
            </w:tcBorders>
            <w:tcMar>
              <w:bottom w:w="29"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92-2038755</w:t>
            </w:r>
          </w:p>
        </w:tc>
      </w:tr>
      <w:tr>
        <w:trPr/>
        <w:tc>
          <w:tcPr>
            <w:tcW w:w="23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(State or other jurisdiction of</w:t>
            </w:r>
            <w:r>
              <w:rPr>
                <w:rFonts w:ascii="Times New Roman;Times;serif" w:hAnsi="Times New Roman;Times;serif"/>
                <w:sz w:val="16"/>
              </w:rPr>
              <w:br/>
            </w:r>
            <w:r>
              <w:rPr>
                <w:rFonts w:ascii="Times New Roman;Times;serif" w:hAnsi="Times New Roman;Times;serif"/>
                <w:b/>
                <w:sz w:val="16"/>
              </w:rPr>
              <w:t>incorporation or organization)</w:t>
            </w:r>
          </w:p>
        </w:tc>
        <w:tc>
          <w:tcPr>
            <w:tcW w:w="286" w:type="dxa"/>
            <w:tcBorders/>
            <w:vAlign w:val="center"/>
          </w:tcPr>
          <w:p>
            <w:pPr>
              <w:pStyle w:val="TableContents"/>
              <w:bidi w:val="0"/>
              <w:spacing w:before="0" w:after="0"/>
              <w:ind w:left="0" w:right="0" w:hanging="0"/>
              <w:jc w:val="left"/>
              <w:rPr/>
            </w:pPr>
            <w:r>
              <w:rPr/>
              <w:t> </w:t>
            </w:r>
          </w:p>
        </w:tc>
        <w:tc>
          <w:tcPr>
            <w:tcW w:w="14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(IRS Employer</w:t>
            </w:r>
            <w:r>
              <w:rPr>
                <w:rFonts w:ascii="Times New Roman;Times;serif" w:hAnsi="Times New Roman;Times;serif"/>
                <w:sz w:val="16"/>
              </w:rPr>
              <w:br/>
            </w:r>
            <w:r>
              <w:rPr>
                <w:rFonts w:ascii="Times New Roman;Times;serif" w:hAnsi="Times New Roman;Times;serif"/>
                <w:b/>
                <w:sz w:val="16"/>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150 Union Square Drive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New Hope, Pennsylvania</w:t>
      </w:r>
      <w:r>
        <w:rPr>
          <w:rFonts w:ascii="Times New Roman;Times;serif" w:hAnsi="Times New Roman;Times;serif"/>
          <w:sz w:val="20"/>
        </w:rPr>
        <w:t xml:space="preserve"> </w:t>
      </w:r>
      <w:r>
        <w:rPr>
          <w:rFonts w:ascii="Times New Roman;Times;serif" w:hAnsi="Times New Roman;Times;serif"/>
          <w:b/>
          <w:sz w:val="16"/>
        </w:rPr>
        <w:t>18938</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 including zip code)</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 (215) 862-5797</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9" w:name="Tc_uSggdy00KUGa2Ck1PRQDmg_2_4"/>
      <w:bookmarkStart w:id="10" w:name="Tc_8GoIVoJCeUGLA2SJrbGmjw_1_4"/>
      <w:bookmarkStart w:id="11" w:name="Tc_csty4hUmgUSSW9aVxakVHQ_1_2"/>
      <w:bookmarkStart w:id="12" w:name="Tc_DxfoxmdlGEqcZgWYQYLAFw_1_0"/>
      <w:bookmarkStart w:id="13" w:name="_e5e49c2c_48de_4676_b5b0_3be13605baf5"/>
      <w:bookmarkStart w:id="14" w:name="Tc_uSggdy00KUGa2Ck1PRQDmg_2_4"/>
      <w:bookmarkStart w:id="15" w:name="Tc_8GoIVoJCeUGLA2SJrbGmjw_1_4"/>
      <w:bookmarkStart w:id="16" w:name="Tc_csty4hUmgUSSW9aVxakVHQ_1_2"/>
      <w:bookmarkStart w:id="17" w:name="Tc_DxfoxmdlGEqcZgWYQYLAFw_1_0"/>
      <w:bookmarkStart w:id="18" w:name="_e5e49c2c_48de_4676_b5b0_3be13605baf5"/>
      <w:bookmarkEnd w:id="14"/>
      <w:bookmarkEnd w:id="15"/>
      <w:bookmarkEnd w:id="16"/>
      <w:bookmarkEnd w:id="17"/>
      <w:bookmarkEnd w:id="18"/>
    </w:p>
    <w:tbl>
      <w:tblPr>
        <w:tblW w:w="8675" w:type="dxa"/>
        <w:jc w:val="left"/>
        <w:tblInd w:w="0" w:type="dxa"/>
        <w:tblLayout w:type="fixed"/>
        <w:tblCellMar>
          <w:top w:w="0" w:type="dxa"/>
          <w:left w:w="0" w:type="dxa"/>
          <w:bottom w:w="0" w:type="dxa"/>
          <w:right w:w="0" w:type="dxa"/>
        </w:tblCellMar>
      </w:tblPr>
      <w:tblGrid>
        <w:gridCol w:w="3211"/>
        <w:gridCol w:w="346"/>
        <w:gridCol w:w="1456"/>
        <w:gridCol w:w="346"/>
        <w:gridCol w:w="3316"/>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316" w:type="dxa"/>
            <w:tcBorders/>
            <w:vAlign w:val="center"/>
          </w:tcPr>
          <w:p>
            <w:pPr>
              <w:pStyle w:val="TableContents"/>
              <w:bidi w:val="0"/>
              <w:spacing w:before="0" w:after="283"/>
              <w:ind w:left="0" w:right="0" w:hanging="0"/>
              <w:jc w:val="left"/>
              <w:rPr>
                <w:sz w:val="4"/>
                <w:szCs w:val="4"/>
              </w:rPr>
            </w:pPr>
            <w:r>
              <w:rPr>
                <w:sz w:val="4"/>
                <w:szCs w:val="4"/>
              </w:rPr>
            </w:r>
          </w:p>
        </w:tc>
      </w:tr>
      <w:tr>
        <w:trPr/>
        <w:tc>
          <w:tcPr>
            <w:tcW w:w="3211" w:type="dxa"/>
            <w:tcBorders>
              <w:bottom w:val="single" w:sz="2" w:space="0" w:color="000000"/>
            </w:tcBorders>
            <w:tcMar>
              <w:bottom w:w="29"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bottom w:val="single" w:sz="2" w:space="0" w:color="000000"/>
            </w:tcBorders>
            <w:tcMar>
              <w:bottom w:w="29" w:type="dxa"/>
            </w:tcMar>
            <w:vAlign w:val="center"/>
          </w:tcPr>
          <w:p>
            <w:pPr>
              <w:pStyle w:val="TableContents"/>
              <w:bidi w:val="0"/>
              <w:spacing w:before="0" w:after="0"/>
              <w:ind w:left="0" w:right="0" w:hanging="0"/>
              <w:jc w:val="left"/>
              <w:rPr/>
            </w:pPr>
            <w:r>
              <w:rPr/>
              <w:t>  ​ ​ ​</w:t>
            </w:r>
          </w:p>
        </w:tc>
        <w:tc>
          <w:tcPr>
            <w:tcW w:w="1456" w:type="dxa"/>
            <w:tcBorders>
              <w:bottom w:val="single" w:sz="2" w:space="0" w:color="000000"/>
            </w:tcBorders>
            <w:tcMar>
              <w:bottom w:w="29"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46" w:type="dxa"/>
            <w:tcBorders>
              <w:bottom w:val="single" w:sz="2" w:space="0" w:color="000000"/>
            </w:tcBorders>
            <w:tcMar>
              <w:bottom w:w="29" w:type="dxa"/>
            </w:tcMar>
            <w:vAlign w:val="center"/>
          </w:tcPr>
          <w:p>
            <w:pPr>
              <w:pStyle w:val="TableContents"/>
              <w:bidi w:val="0"/>
              <w:spacing w:before="0" w:after="0"/>
              <w:ind w:left="0" w:right="0" w:hanging="0"/>
              <w:jc w:val="left"/>
              <w:rPr/>
            </w:pPr>
            <w:r>
              <w:rPr/>
              <w:t>  ​ ​ ​</w:t>
            </w:r>
          </w:p>
        </w:tc>
        <w:tc>
          <w:tcPr>
            <w:tcW w:w="3316" w:type="dxa"/>
            <w:tcBorders>
              <w:bottom w:val="single" w:sz="2" w:space="0" w:color="000000"/>
            </w:tcBorders>
            <w:tcMar>
              <w:bottom w:w="29"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2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par value $0.0001 per share</w:t>
            </w:r>
          </w:p>
        </w:tc>
        <w:tc>
          <w:tcPr>
            <w:tcW w:w="346" w:type="dxa"/>
            <w:tcBorders/>
            <w:vAlign w:val="center"/>
          </w:tcPr>
          <w:p>
            <w:pPr>
              <w:pStyle w:val="TableContents"/>
              <w:bidi w:val="0"/>
              <w:spacing w:before="0" w:after="0"/>
              <w:ind w:left="0" w:right="0" w:hanging="0"/>
              <w:jc w:val="left"/>
              <w:rPr/>
            </w:pPr>
            <w:r>
              <w:rPr/>
              <w:t> </w:t>
            </w:r>
          </w:p>
        </w:tc>
        <w:tc>
          <w:tcPr>
            <w:tcW w:w="14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OBIO</w:t>
            </w:r>
          </w:p>
        </w:tc>
        <w:tc>
          <w:tcPr>
            <w:tcW w:w="346" w:type="dxa"/>
            <w:tcBorders/>
            <w:vAlign w:val="center"/>
          </w:tcPr>
          <w:p>
            <w:pPr>
              <w:pStyle w:val="TableContents"/>
              <w:bidi w:val="0"/>
              <w:spacing w:before="0" w:after="0"/>
              <w:ind w:left="0" w:right="0" w:hanging="0"/>
              <w:jc w:val="left"/>
              <w:rPr/>
            </w:pPr>
            <w:r>
              <w:rPr/>
              <w:t> </w:t>
            </w:r>
          </w:p>
        </w:tc>
        <w:tc>
          <w:tcPr>
            <w:tcW w:w="33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Stock Market LLC</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19" w:name="Tc_pWc2cVwjE02A-lj3f7ppxw_2_2"/>
      <w:bookmarkStart w:id="20" w:name="Tc_wJeEgEDP0EuXoTWAaSNEfw_1_2"/>
      <w:bookmarkStart w:id="21" w:name="Tc_Z-fWHC9hhEKmeAWPRc1LFg_1_1"/>
      <w:bookmarkStart w:id="22" w:name="Tc_tHwugQQuj0G7nOSuUJRn4g_0_3"/>
      <w:bookmarkStart w:id="23" w:name="Tc_dmGtdTgq2UmZcWmtsgve8w_0_2"/>
      <w:bookmarkStart w:id="24" w:name="Tc_GGw0B_oghkaOA6nxmA3Nxw_0_1"/>
      <w:bookmarkStart w:id="25" w:name="Tc_z013R1kV102kpCi1p_krgA_0_0"/>
      <w:bookmarkStart w:id="26" w:name="_82f2a5a2_9e69_4819_abea_ebd81dfa7e12"/>
      <w:bookmarkStart w:id="27" w:name="Tc_pWc2cVwjE02A-lj3f7ppxw_2_2"/>
      <w:bookmarkStart w:id="28" w:name="Tc_wJeEgEDP0EuXoTWAaSNEfw_1_2"/>
      <w:bookmarkStart w:id="29" w:name="Tc_Z-fWHC9hhEKmeAWPRc1LFg_1_1"/>
      <w:bookmarkStart w:id="30" w:name="Tc_tHwugQQuj0G7nOSuUJRn4g_0_3"/>
      <w:bookmarkStart w:id="31" w:name="Tc_dmGtdTgq2UmZcWmtsgve8w_0_2"/>
      <w:bookmarkStart w:id="32" w:name="Tc_GGw0B_oghkaOA6nxmA3Nxw_0_1"/>
      <w:bookmarkStart w:id="33" w:name="Tc_z013R1kV102kpCi1p_krgA_0_0"/>
      <w:bookmarkStart w:id="34" w:name="_82f2a5a2_9e69_4819_abea_ebd81dfa7e12"/>
      <w:bookmarkEnd w:id="27"/>
      <w:bookmarkEnd w:id="28"/>
      <w:bookmarkEnd w:id="29"/>
      <w:bookmarkEnd w:id="30"/>
      <w:bookmarkEnd w:id="31"/>
      <w:bookmarkEnd w:id="32"/>
      <w:bookmarkEnd w:id="33"/>
      <w:bookmarkEnd w:id="34"/>
    </w:p>
    <w:tbl>
      <w:tblPr>
        <w:tblW w:w="4369" w:type="dxa"/>
        <w:jc w:val="left"/>
        <w:tblInd w:w="0" w:type="dxa"/>
        <w:tblLayout w:type="fixed"/>
        <w:tblCellMar>
          <w:top w:w="0" w:type="dxa"/>
          <w:left w:w="0" w:type="dxa"/>
          <w:bottom w:w="0" w:type="dxa"/>
          <w:right w:w="0" w:type="dxa"/>
        </w:tblCellMar>
      </w:tblPr>
      <w:tblGrid>
        <w:gridCol w:w="1666"/>
        <w:gridCol w:w="316"/>
        <w:gridCol w:w="2026"/>
        <w:gridCol w:w="361"/>
      </w:tblGrid>
      <w:tr>
        <w:trPr/>
        <w:tc>
          <w:tcPr>
            <w:tcW w:w="16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As of August 6, 2026, the registrant had 60,105,049 shares of common stock, $0.0001 par value per share, outstanding.</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 w:name="TOC"/>
      <w:bookmarkStart w:id="36" w:name="_1c47254c_8374_403a_bfca_a8c6715f7d77"/>
      <w:bookmarkEnd w:id="35"/>
      <w:bookmarkEnd w:id="36"/>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731"/>
        <w:gridCol w:w="8902"/>
        <w:gridCol w:w="572"/>
      </w:tblGrid>
      <w:tr>
        <w:trPr/>
        <w:tc>
          <w:tcPr>
            <w:tcW w:w="731" w:type="dxa"/>
            <w:tcBorders/>
            <w:vAlign w:val="center"/>
          </w:tcPr>
          <w:p>
            <w:pPr>
              <w:pStyle w:val="TableContents"/>
              <w:bidi w:val="0"/>
              <w:spacing w:before="0" w:after="0"/>
              <w:ind w:left="0" w:right="0" w:hanging="0"/>
              <w:jc w:val="left"/>
              <w:rPr/>
            </w:pPr>
            <w:r>
              <w:rPr/>
              <w:t>​</w:t>
            </w:r>
          </w:p>
        </w:tc>
        <w:tc>
          <w:tcPr>
            <w:tcW w:w="8902" w:type="dxa"/>
            <w:tcBorders/>
            <w:vAlign w:val="center"/>
          </w:tcPr>
          <w:p>
            <w:pPr>
              <w:pStyle w:val="TableContents"/>
              <w:bidi w:val="0"/>
              <w:spacing w:before="0" w:after="0"/>
              <w:ind w:left="0" w:right="0" w:hanging="0"/>
              <w:jc w:val="left"/>
              <w:rPr/>
            </w:pPr>
            <w:r>
              <w:rPr/>
              <w:t>​</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3" w:type="dxa"/>
            <w:gridSpan w:val="2"/>
            <w:tcBorders/>
            <w:vAlign w:val="center"/>
          </w:tcPr>
          <w:p>
            <w:pPr>
              <w:pStyle w:val="TableContents"/>
              <w:pBdr/>
              <w:bidi w:val="0"/>
              <w:spacing w:before="0" w:after="0"/>
              <w:ind w:left="0" w:right="0" w:hanging="0"/>
              <w:jc w:val="left"/>
              <w:rPr/>
            </w:pPr>
            <w:hyperlink w:anchor="PARTIFINANCIALINFORMATION_947780">
              <w:r>
                <w:rPr>
                  <w:rStyle w:val="InternetLink"/>
                  <w:rFonts w:ascii="Times New Roman;Times;serif" w:hAnsi="Times New Roman;Times;serif"/>
                  <w:b/>
                  <w:i w:val="false"/>
                  <w:caps w:val="false"/>
                  <w:smallCaps w:val="false"/>
                  <w:sz w:val="20"/>
                </w:rPr>
                <w:t>PART I. FINANCIAL INFORMATION</w:t>
              </w:r>
            </w:hyperlink>
          </w:p>
        </w:tc>
        <w:tc>
          <w:tcPr>
            <w:tcW w:w="572"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731" w:type="dxa"/>
            <w:tcBorders/>
            <w:vAlign w:val="center"/>
          </w:tcPr>
          <w:p>
            <w:pPr>
              <w:pStyle w:val="TableContents"/>
              <w:bidi w:val="0"/>
              <w:spacing w:before="0" w:after="0"/>
              <w:ind w:left="0" w:right="0" w:hanging="0"/>
              <w:jc w:val="left"/>
              <w:rPr/>
            </w:pPr>
            <w:r>
              <w:rPr/>
              <w:t>​</w:t>
            </w:r>
          </w:p>
        </w:tc>
        <w:tc>
          <w:tcPr>
            <w:tcW w:w="890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r>
      <w:tr>
        <w:trPr/>
        <w:tc>
          <w:tcPr>
            <w:tcW w:w="731" w:type="dxa"/>
            <w:tcBorders/>
            <w:vAlign w:val="center"/>
          </w:tcPr>
          <w:p>
            <w:pPr>
              <w:pStyle w:val="TableContents"/>
              <w:pBdr/>
              <w:bidi w:val="0"/>
              <w:spacing w:before="0" w:after="0"/>
              <w:ind w:left="0" w:right="0" w:hanging="0"/>
              <w:jc w:val="left"/>
              <w:rPr/>
            </w:pPr>
            <w:hyperlink w:anchor="Item1FinancialStatements_676566">
              <w:r>
                <w:rPr>
                  <w:rStyle w:val="InternetLink"/>
                  <w:rFonts w:ascii="Times New Roman;Times;serif" w:hAnsi="Times New Roman;Times;serif"/>
                  <w:b w:val="false"/>
                  <w:i w:val="false"/>
                  <w:caps w:val="false"/>
                  <w:smallCaps w:val="false"/>
                  <w:sz w:val="20"/>
                </w:rPr>
                <w:t>Item 1.</w:t>
              </w:r>
            </w:hyperlink>
          </w:p>
        </w:tc>
        <w:tc>
          <w:tcPr>
            <w:tcW w:w="8902" w:type="dxa"/>
            <w:tcBorders/>
            <w:vAlign w:val="center"/>
          </w:tcPr>
          <w:p>
            <w:pPr>
              <w:pStyle w:val="TableContents"/>
              <w:bidi w:val="0"/>
              <w:spacing w:before="0" w:after="0"/>
              <w:ind w:left="0" w:right="0" w:hanging="0"/>
              <w:jc w:val="left"/>
              <w:rPr/>
            </w:pPr>
            <w:hyperlink w:anchor="Item1FinancialStatements_676566">
              <w:r>
                <w:rPr>
                  <w:rStyle w:val="InternetLink"/>
                  <w:rFonts w:ascii="Times New Roman;Times;serif" w:hAnsi="Times New Roman;Times;serif"/>
                  <w:b w:val="false"/>
                  <w:i w:val="false"/>
                  <w:caps w:val="false"/>
                  <w:smallCaps w:val="false"/>
                  <w:sz w:val="20"/>
                </w:rPr>
                <w:t>Financial Statements</w:t>
              </w:r>
            </w:hyperlink>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731" w:type="dxa"/>
            <w:tcBorders/>
            <w:vAlign w:val="center"/>
          </w:tcPr>
          <w:p>
            <w:pPr>
              <w:pStyle w:val="TableContents"/>
              <w:bidi w:val="0"/>
              <w:spacing w:before="0" w:after="0"/>
              <w:ind w:left="0" w:right="0" w:hanging="0"/>
              <w:jc w:val="left"/>
              <w:rPr/>
            </w:pPr>
            <w:r>
              <w:rPr/>
              <w:t>​</w:t>
            </w:r>
          </w:p>
        </w:tc>
        <w:tc>
          <w:tcPr>
            <w:tcW w:w="8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Unaudited Condensed Consolidated Financial Statements:</w:t>
            </w:r>
          </w:p>
        </w:tc>
        <w:tc>
          <w:tcPr>
            <w:tcW w:w="572" w:type="dxa"/>
            <w:tcBorders/>
            <w:vAlign w:val="center"/>
          </w:tcPr>
          <w:p>
            <w:pPr>
              <w:pStyle w:val="TableContents"/>
              <w:bidi w:val="0"/>
              <w:spacing w:before="0" w:after="0"/>
              <w:ind w:left="0" w:right="0" w:hanging="0"/>
              <w:jc w:val="center"/>
              <w:rPr/>
            </w:pPr>
            <w:r>
              <w:rPr/>
              <w:t>​</w:t>
            </w:r>
          </w:p>
        </w:tc>
      </w:tr>
      <w:tr>
        <w:trPr/>
        <w:tc>
          <w:tcPr>
            <w:tcW w:w="731" w:type="dxa"/>
            <w:tcBorders/>
            <w:vAlign w:val="center"/>
          </w:tcPr>
          <w:p>
            <w:pPr>
              <w:pStyle w:val="TableContents"/>
              <w:bidi w:val="0"/>
              <w:spacing w:before="0" w:after="0"/>
              <w:ind w:left="0" w:right="0" w:hanging="0"/>
              <w:jc w:val="left"/>
              <w:rPr/>
            </w:pPr>
            <w:r>
              <w:rPr/>
              <w:t>​</w:t>
            </w:r>
          </w:p>
        </w:tc>
        <w:tc>
          <w:tcPr>
            <w:tcW w:w="8902" w:type="dxa"/>
            <w:tcBorders/>
            <w:vAlign w:val="center"/>
          </w:tcPr>
          <w:p>
            <w:pPr>
              <w:pStyle w:val="TableContents"/>
              <w:bidi w:val="0"/>
              <w:spacing w:before="0" w:after="0"/>
              <w:ind w:left="0" w:right="0" w:hanging="0"/>
              <w:jc w:val="left"/>
              <w:rPr/>
            </w:pPr>
            <w:hyperlink w:anchor="CondensedConsolidatedBalanceSheets_10989">
              <w:r>
                <w:rPr>
                  <w:rStyle w:val="InternetLink"/>
                  <w:rFonts w:ascii="Times New Roman;Times;serif" w:hAnsi="Times New Roman;Times;serif"/>
                  <w:b w:val="false"/>
                  <w:i w:val="false"/>
                  <w:caps w:val="false"/>
                  <w:smallCaps w:val="false"/>
                  <w:sz w:val="20"/>
                </w:rPr>
                <w:t>Condensed Consolidated Balance Sheets as of June 30, 2026 (Unaudited) and December 31, 2025</w:t>
              </w:r>
            </w:hyperlink>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731" w:type="dxa"/>
            <w:tcBorders/>
            <w:vAlign w:val="center"/>
          </w:tcPr>
          <w:p>
            <w:pPr>
              <w:pStyle w:val="TableContents"/>
              <w:bidi w:val="0"/>
              <w:spacing w:before="0" w:after="0"/>
              <w:ind w:left="0" w:right="0" w:hanging="0"/>
              <w:jc w:val="left"/>
              <w:rPr/>
            </w:pPr>
            <w:r>
              <w:rPr/>
              <w:t>​</w:t>
            </w:r>
          </w:p>
        </w:tc>
        <w:tc>
          <w:tcPr>
            <w:tcW w:w="8902"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and Comprehensive Loss for the Three and Six Months Ended June 30, 2026 and 2025</w:t>
              </w:r>
            </w:hyperlink>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731" w:type="dxa"/>
            <w:tcBorders/>
            <w:vAlign w:val="center"/>
          </w:tcPr>
          <w:p>
            <w:pPr>
              <w:pStyle w:val="TableContents"/>
              <w:bidi w:val="0"/>
              <w:spacing w:before="0" w:after="0"/>
              <w:ind w:left="0" w:right="0" w:hanging="0"/>
              <w:jc w:val="left"/>
              <w:rPr/>
            </w:pPr>
            <w:r>
              <w:rPr/>
              <w:t>​</w:t>
            </w:r>
          </w:p>
        </w:tc>
        <w:tc>
          <w:tcPr>
            <w:tcW w:w="8902" w:type="dxa"/>
            <w:tcBorders/>
            <w:vAlign w:val="center"/>
          </w:tcPr>
          <w:p>
            <w:pPr>
              <w:pStyle w:val="TableContents"/>
              <w:bidi w:val="0"/>
              <w:spacing w:before="0" w:after="0"/>
              <w:ind w:left="0" w:right="0" w:hanging="0"/>
              <w:jc w:val="left"/>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 (Deficit) for the Three and Six Months Ended June 30, 2026 and 2025</w:t>
              </w:r>
            </w:hyperlink>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731" w:type="dxa"/>
            <w:tcBorders/>
            <w:vAlign w:val="center"/>
          </w:tcPr>
          <w:p>
            <w:pPr>
              <w:pStyle w:val="TableContents"/>
              <w:bidi w:val="0"/>
              <w:spacing w:before="0" w:after="0"/>
              <w:ind w:left="0" w:right="0" w:hanging="0"/>
              <w:jc w:val="left"/>
              <w:rPr/>
            </w:pPr>
            <w:r>
              <w:rPr/>
              <w:t>​</w:t>
            </w:r>
          </w:p>
        </w:tc>
        <w:tc>
          <w:tcPr>
            <w:tcW w:w="8902"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w:t>
              </w:r>
            </w:hyperlink>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731" w:type="dxa"/>
            <w:tcBorders/>
            <w:vAlign w:val="center"/>
          </w:tcPr>
          <w:p>
            <w:pPr>
              <w:pStyle w:val="TableContents"/>
              <w:bidi w:val="0"/>
              <w:spacing w:before="0" w:after="0"/>
              <w:ind w:left="0" w:right="0" w:hanging="0"/>
              <w:jc w:val="left"/>
              <w:rPr/>
            </w:pPr>
            <w:r>
              <w:rPr/>
              <w:t>​</w:t>
            </w:r>
          </w:p>
        </w:tc>
        <w:tc>
          <w:tcPr>
            <w:tcW w:w="8902" w:type="dxa"/>
            <w:tcBorders/>
            <w:vAlign w:val="center"/>
          </w:tcPr>
          <w:p>
            <w:pPr>
              <w:pStyle w:val="TableContents"/>
              <w:bidi w:val="0"/>
              <w:spacing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731"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902"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731"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902"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731" w:type="dxa"/>
            <w:tcBorders/>
            <w:vAlign w:val="center"/>
          </w:tcPr>
          <w:p>
            <w:pPr>
              <w:pStyle w:val="TableContents"/>
              <w:pBdr/>
              <w:bidi w:val="0"/>
              <w:spacing w:before="0" w:after="0"/>
              <w:ind w:left="0" w:right="0" w:hanging="0"/>
              <w:jc w:val="left"/>
              <w:rPr/>
            </w:pPr>
            <w:hyperlink w:anchor="Item4ControlsandProcedures_214683">
              <w:r>
                <w:rPr>
                  <w:rStyle w:val="InternetLink"/>
                  <w:rFonts w:ascii="Times New Roman;Times;serif" w:hAnsi="Times New Roman;Times;serif"/>
                  <w:b w:val="false"/>
                  <w:i w:val="false"/>
                  <w:caps w:val="false"/>
                  <w:smallCaps w:val="false"/>
                  <w:sz w:val="20"/>
                </w:rPr>
                <w:t>Item 4.</w:t>
              </w:r>
            </w:hyperlink>
          </w:p>
        </w:tc>
        <w:tc>
          <w:tcPr>
            <w:tcW w:w="8902" w:type="dxa"/>
            <w:tcBorders/>
            <w:vAlign w:val="center"/>
          </w:tcPr>
          <w:p>
            <w:pPr>
              <w:pStyle w:val="TableContents"/>
              <w:bidi w:val="0"/>
              <w:spacing w:before="0" w:after="0"/>
              <w:ind w:left="0" w:right="0" w:hanging="0"/>
              <w:jc w:val="left"/>
              <w:rPr/>
            </w:pPr>
            <w:hyperlink w:anchor="Item4ControlsandProcedures_214683">
              <w:r>
                <w:rPr>
                  <w:rStyle w:val="InternetLink"/>
                  <w:rFonts w:ascii="Times New Roman;Times;serif" w:hAnsi="Times New Roman;Times;serif"/>
                  <w:b w:val="false"/>
                  <w:i w:val="false"/>
                  <w:caps w:val="false"/>
                  <w:smallCaps w:val="false"/>
                  <w:sz w:val="20"/>
                </w:rPr>
                <w:t>Controls and Procedures</w:t>
              </w:r>
            </w:hyperlink>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731" w:type="dxa"/>
            <w:tcBorders/>
            <w:vAlign w:val="center"/>
          </w:tcPr>
          <w:p>
            <w:pPr>
              <w:pStyle w:val="TableContents"/>
              <w:bidi w:val="0"/>
              <w:spacing w:before="0" w:after="0"/>
              <w:ind w:left="0" w:right="0" w:hanging="0"/>
              <w:jc w:val="left"/>
              <w:rPr/>
            </w:pPr>
            <w:r>
              <w:rPr/>
              <w:t>​</w:t>
            </w:r>
          </w:p>
        </w:tc>
        <w:tc>
          <w:tcPr>
            <w:tcW w:w="890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r>
      <w:tr>
        <w:trPr/>
        <w:tc>
          <w:tcPr>
            <w:tcW w:w="9633" w:type="dxa"/>
            <w:gridSpan w:val="2"/>
            <w:tcBorders/>
            <w:vAlign w:val="center"/>
          </w:tcPr>
          <w:p>
            <w:pPr>
              <w:pStyle w:val="TableContents"/>
              <w:pBdr/>
              <w:bidi w:val="0"/>
              <w:spacing w:before="0" w:after="0"/>
              <w:ind w:left="0" w:right="0" w:hanging="0"/>
              <w:jc w:val="left"/>
              <w:rPr/>
            </w:pPr>
            <w:hyperlink w:anchor="PARTIIOTHERINFORMATION_491535">
              <w:r>
                <w:rPr>
                  <w:rStyle w:val="InternetLink"/>
                  <w:rFonts w:ascii="Times New Roman;Times;serif" w:hAnsi="Times New Roman;Times;serif"/>
                  <w:b/>
                  <w:i w:val="false"/>
                  <w:caps w:val="false"/>
                  <w:smallCaps w:val="false"/>
                  <w:sz w:val="20"/>
                </w:rPr>
                <w:t>PART II. OTHER INFORMATION</w:t>
              </w:r>
            </w:hyperlink>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731" w:type="dxa"/>
            <w:tcBorders/>
            <w:vAlign w:val="center"/>
          </w:tcPr>
          <w:p>
            <w:pPr>
              <w:pStyle w:val="TableContents"/>
              <w:bidi w:val="0"/>
              <w:spacing w:before="0" w:after="0"/>
              <w:ind w:left="0" w:right="0" w:hanging="0"/>
              <w:jc w:val="left"/>
              <w:rPr/>
            </w:pPr>
            <w:r>
              <w:rPr/>
              <w:t>​</w:t>
            </w:r>
          </w:p>
        </w:tc>
        <w:tc>
          <w:tcPr>
            <w:tcW w:w="890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center"/>
              <w:rPr/>
            </w:pPr>
            <w:r>
              <w:rPr/>
              <w:t>​</w:t>
            </w:r>
          </w:p>
        </w:tc>
      </w:tr>
      <w:tr>
        <w:trPr/>
        <w:tc>
          <w:tcPr>
            <w:tcW w:w="731" w:type="dxa"/>
            <w:tcBorders/>
            <w:vAlign w:val="center"/>
          </w:tcPr>
          <w:p>
            <w:pPr>
              <w:pStyle w:val="TableContents"/>
              <w:pBdr/>
              <w:bidi w:val="0"/>
              <w:spacing w:before="0" w:after="0"/>
              <w:ind w:left="0" w:right="0" w:hanging="0"/>
              <w:jc w:val="left"/>
              <w:rPr/>
            </w:pPr>
            <w:hyperlink w:anchor="Item1LegalProceedings_728134">
              <w:r>
                <w:rPr>
                  <w:rStyle w:val="InternetLink"/>
                  <w:rFonts w:ascii="Times New Roman;Times;serif" w:hAnsi="Times New Roman;Times;serif"/>
                  <w:b w:val="false"/>
                  <w:i w:val="false"/>
                  <w:caps w:val="false"/>
                  <w:smallCaps w:val="false"/>
                  <w:sz w:val="20"/>
                </w:rPr>
                <w:t>Item 1.</w:t>
              </w:r>
            </w:hyperlink>
          </w:p>
        </w:tc>
        <w:tc>
          <w:tcPr>
            <w:tcW w:w="8902" w:type="dxa"/>
            <w:tcBorders/>
            <w:vAlign w:val="center"/>
          </w:tcPr>
          <w:p>
            <w:pPr>
              <w:pStyle w:val="TableContents"/>
              <w:bidi w:val="0"/>
              <w:spacing w:before="0" w:after="0"/>
              <w:ind w:left="0" w:right="0" w:hanging="0"/>
              <w:jc w:val="left"/>
              <w:rPr/>
            </w:pPr>
            <w:hyperlink w:anchor="Item1LegalProceedings_728134">
              <w:r>
                <w:rPr>
                  <w:rStyle w:val="InternetLink"/>
                  <w:rFonts w:ascii="Times New Roman;Times;serif" w:hAnsi="Times New Roman;Times;serif"/>
                  <w:b w:val="false"/>
                  <w:i w:val="false"/>
                  <w:caps w:val="false"/>
                  <w:smallCaps w:val="false"/>
                  <w:sz w:val="20"/>
                </w:rPr>
                <w:t>Legal Proceedings</w:t>
              </w:r>
            </w:hyperlink>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731" w:type="dxa"/>
            <w:tcBorders/>
            <w:vAlign w:val="center"/>
          </w:tcPr>
          <w:p>
            <w:pPr>
              <w:pStyle w:val="TableContents"/>
              <w:pBdr/>
              <w:bidi w:val="0"/>
              <w:spacing w:before="0" w:after="0"/>
              <w:ind w:left="0" w:right="0" w:hanging="0"/>
              <w:jc w:val="left"/>
              <w:rPr/>
            </w:pPr>
            <w:hyperlink w:anchor="_Item_1A._Risk">
              <w:r>
                <w:rPr>
                  <w:rStyle w:val="InternetLink"/>
                  <w:rFonts w:ascii="Times New Roman;Times;serif" w:hAnsi="Times New Roman;Times;serif"/>
                  <w:b w:val="false"/>
                  <w:i w:val="false"/>
                  <w:caps w:val="false"/>
                  <w:smallCaps w:val="false"/>
                  <w:sz w:val="20"/>
                </w:rPr>
                <w:t>Item 1A.</w:t>
              </w:r>
            </w:hyperlink>
          </w:p>
        </w:tc>
        <w:tc>
          <w:tcPr>
            <w:tcW w:w="8902" w:type="dxa"/>
            <w:tcBorders/>
            <w:vAlign w:val="center"/>
          </w:tcPr>
          <w:p>
            <w:pPr>
              <w:pStyle w:val="TableContents"/>
              <w:bidi w:val="0"/>
              <w:spacing w:before="0" w:after="0"/>
              <w:ind w:left="0" w:right="0" w:hanging="0"/>
              <w:jc w:val="left"/>
              <w:rPr/>
            </w:pPr>
            <w:hyperlink w:anchor="_Item_1A._Risk">
              <w:r>
                <w:rPr>
                  <w:rStyle w:val="InternetLink"/>
                  <w:rFonts w:ascii="Times New Roman;Times;serif" w:hAnsi="Times New Roman;Times;serif"/>
                  <w:b w:val="false"/>
                  <w:i w:val="false"/>
                  <w:caps w:val="false"/>
                  <w:smallCaps w:val="false"/>
                  <w:sz w:val="20"/>
                </w:rPr>
                <w:t>Risk Factors</w:t>
              </w:r>
            </w:hyperlink>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731"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902"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731" w:type="dxa"/>
            <w:tcBorders/>
            <w:vAlign w:val="center"/>
          </w:tcPr>
          <w:p>
            <w:pPr>
              <w:pStyle w:val="TableContents"/>
              <w:pBdr/>
              <w:bidi w:val="0"/>
              <w:spacing w:before="0" w:after="0"/>
              <w:ind w:left="0" w:right="0" w:hanging="0"/>
              <w:jc w:val="left"/>
              <w:rPr/>
            </w:pPr>
            <w:hyperlink w:anchor="Item3DefaultsUponSeniorSecurities_590897">
              <w:r>
                <w:rPr>
                  <w:rStyle w:val="InternetLink"/>
                  <w:rFonts w:ascii="Times New Roman;Times;serif" w:hAnsi="Times New Roman;Times;serif"/>
                  <w:b w:val="false"/>
                  <w:i w:val="false"/>
                  <w:caps w:val="false"/>
                  <w:smallCaps w:val="false"/>
                  <w:sz w:val="20"/>
                </w:rPr>
                <w:t>Item 3.</w:t>
              </w:r>
            </w:hyperlink>
          </w:p>
        </w:tc>
        <w:tc>
          <w:tcPr>
            <w:tcW w:w="8902" w:type="dxa"/>
            <w:tcBorders/>
            <w:vAlign w:val="center"/>
          </w:tcPr>
          <w:p>
            <w:pPr>
              <w:pStyle w:val="TableContents"/>
              <w:bidi w:val="0"/>
              <w:spacing w:before="0" w:after="0"/>
              <w:ind w:left="0" w:right="0" w:hanging="0"/>
              <w:jc w:val="left"/>
              <w:rPr/>
            </w:pPr>
            <w:hyperlink w:anchor="Item3DefaultsUponSeniorSecurities_590897">
              <w:r>
                <w:rPr>
                  <w:rStyle w:val="InternetLink"/>
                  <w:rFonts w:ascii="Times New Roman;Times;serif" w:hAnsi="Times New Roman;Times;serif"/>
                  <w:b w:val="false"/>
                  <w:i w:val="false"/>
                  <w:caps w:val="false"/>
                  <w:smallCaps w:val="false"/>
                  <w:sz w:val="20"/>
                </w:rPr>
                <w:t>Defaults Upon Senior Securities</w:t>
              </w:r>
            </w:hyperlink>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731" w:type="dxa"/>
            <w:tcBorders/>
            <w:vAlign w:val="center"/>
          </w:tcPr>
          <w:p>
            <w:pPr>
              <w:pStyle w:val="TableContents"/>
              <w:pBdr/>
              <w:bidi w:val="0"/>
              <w:spacing w:before="0" w:after="0"/>
              <w:ind w:left="0" w:right="0" w:hanging="0"/>
              <w:jc w:val="left"/>
              <w:rPr/>
            </w:pPr>
            <w:hyperlink w:anchor="Item4MineSafetyDisclosures_710534">
              <w:r>
                <w:rPr>
                  <w:rStyle w:val="InternetLink"/>
                  <w:rFonts w:ascii="Times New Roman;Times;serif" w:hAnsi="Times New Roman;Times;serif"/>
                  <w:b w:val="false"/>
                  <w:i w:val="false"/>
                  <w:caps w:val="false"/>
                  <w:smallCaps w:val="false"/>
                  <w:sz w:val="20"/>
                </w:rPr>
                <w:t>Item 4.</w:t>
              </w:r>
            </w:hyperlink>
          </w:p>
        </w:tc>
        <w:tc>
          <w:tcPr>
            <w:tcW w:w="8902" w:type="dxa"/>
            <w:tcBorders/>
            <w:vAlign w:val="center"/>
          </w:tcPr>
          <w:p>
            <w:pPr>
              <w:pStyle w:val="TableContents"/>
              <w:bidi w:val="0"/>
              <w:spacing w:before="0" w:after="0"/>
              <w:ind w:left="0" w:right="0" w:hanging="0"/>
              <w:jc w:val="left"/>
              <w:rPr/>
            </w:pPr>
            <w:hyperlink w:anchor="Item4MineSafetyDisclosures_710534">
              <w:r>
                <w:rPr>
                  <w:rStyle w:val="InternetLink"/>
                  <w:rFonts w:ascii="Times New Roman;Times;serif" w:hAnsi="Times New Roman;Times;serif"/>
                  <w:b w:val="false"/>
                  <w:i w:val="false"/>
                  <w:caps w:val="false"/>
                  <w:smallCaps w:val="false"/>
                  <w:sz w:val="20"/>
                </w:rPr>
                <w:t>Mine Safety Disclosures</w:t>
              </w:r>
            </w:hyperlink>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731" w:type="dxa"/>
            <w:tcBorders/>
            <w:vAlign w:val="center"/>
          </w:tcPr>
          <w:p>
            <w:pPr>
              <w:pStyle w:val="TableContents"/>
              <w:pBdr/>
              <w:bidi w:val="0"/>
              <w:spacing w:before="0" w:after="0"/>
              <w:ind w:left="0" w:right="0" w:hanging="0"/>
              <w:jc w:val="left"/>
              <w:rPr/>
            </w:pPr>
            <w:hyperlink w:anchor="Item5OtherInformation_169053">
              <w:r>
                <w:rPr>
                  <w:rStyle w:val="InternetLink"/>
                  <w:rFonts w:ascii="Times New Roman;Times;serif" w:hAnsi="Times New Roman;Times;serif"/>
                  <w:b w:val="false"/>
                  <w:i w:val="false"/>
                  <w:caps w:val="false"/>
                  <w:smallCaps w:val="false"/>
                  <w:sz w:val="20"/>
                </w:rPr>
                <w:t>Item 5.</w:t>
              </w:r>
            </w:hyperlink>
          </w:p>
        </w:tc>
        <w:tc>
          <w:tcPr>
            <w:tcW w:w="8902" w:type="dxa"/>
            <w:tcBorders/>
            <w:vAlign w:val="center"/>
          </w:tcPr>
          <w:p>
            <w:pPr>
              <w:pStyle w:val="TableContents"/>
              <w:bidi w:val="0"/>
              <w:spacing w:before="0" w:after="0"/>
              <w:ind w:left="0" w:right="0" w:hanging="0"/>
              <w:jc w:val="left"/>
              <w:rPr/>
            </w:pPr>
            <w:hyperlink w:anchor="Item5OtherInformation_169053">
              <w:r>
                <w:rPr>
                  <w:rStyle w:val="InternetLink"/>
                  <w:rFonts w:ascii="Times New Roman;Times;serif" w:hAnsi="Times New Roman;Times;serif"/>
                  <w:b w:val="false"/>
                  <w:i w:val="false"/>
                  <w:caps w:val="false"/>
                  <w:smallCaps w:val="false"/>
                  <w:sz w:val="20"/>
                </w:rPr>
                <w:t>Other Information</w:t>
              </w:r>
            </w:hyperlink>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731" w:type="dxa"/>
            <w:tcBorders/>
            <w:vAlign w:val="center"/>
          </w:tcPr>
          <w:p>
            <w:pPr>
              <w:pStyle w:val="TableContents"/>
              <w:pBdr/>
              <w:bidi w:val="0"/>
              <w:spacing w:before="0" w:after="0"/>
              <w:ind w:left="0" w:right="0" w:hanging="0"/>
              <w:jc w:val="left"/>
              <w:rPr/>
            </w:pPr>
            <w:hyperlink w:anchor="Item6Exhibits_566689">
              <w:r>
                <w:rPr>
                  <w:rStyle w:val="InternetLink"/>
                  <w:rFonts w:ascii="Times New Roman;Times;serif" w:hAnsi="Times New Roman;Times;serif"/>
                  <w:b w:val="false"/>
                  <w:i w:val="false"/>
                  <w:caps w:val="false"/>
                  <w:smallCaps w:val="false"/>
                  <w:sz w:val="20"/>
                </w:rPr>
                <w:t>Item 6.</w:t>
              </w:r>
            </w:hyperlink>
          </w:p>
        </w:tc>
        <w:tc>
          <w:tcPr>
            <w:tcW w:w="8902" w:type="dxa"/>
            <w:tcBorders/>
            <w:vAlign w:val="center"/>
          </w:tcPr>
          <w:p>
            <w:pPr>
              <w:pStyle w:val="TableContents"/>
              <w:bidi w:val="0"/>
              <w:spacing w:before="0" w:after="0"/>
              <w:ind w:left="0" w:right="0" w:hanging="0"/>
              <w:jc w:val="left"/>
              <w:rPr/>
            </w:pPr>
            <w:hyperlink w:anchor="Item6Exhibits_566689">
              <w:r>
                <w:rPr>
                  <w:rStyle w:val="InternetLink"/>
                  <w:rFonts w:ascii="Times New Roman;Times;serif" w:hAnsi="Times New Roman;Times;serif"/>
                  <w:b w:val="false"/>
                  <w:i w:val="false"/>
                  <w:caps w:val="false"/>
                  <w:smallCaps w:val="false"/>
                  <w:sz w:val="20"/>
                </w:rPr>
                <w:t>Exhibits</w:t>
              </w:r>
            </w:hyperlink>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9633" w:type="dxa"/>
            <w:gridSpan w:val="2"/>
            <w:tcBorders/>
            <w:vAlign w:val="center"/>
          </w:tcPr>
          <w:p>
            <w:pPr>
              <w:pStyle w:val="TableContents"/>
              <w:pBdr/>
              <w:bidi w:val="0"/>
              <w:spacing w:before="0" w:after="0"/>
              <w:ind w:left="0" w:right="0" w:hanging="0"/>
              <w:jc w:val="left"/>
              <w:rPr/>
            </w:pPr>
            <w:hyperlink w:anchor="SIGNATURES_191271">
              <w:r>
                <w:rPr>
                  <w:rStyle w:val="InternetLink"/>
                  <w:rFonts w:ascii="Times New Roman;Times;serif" w:hAnsi="Times New Roman;Times;serif"/>
                  <w:b w:val="false"/>
                  <w:i w:val="false"/>
                  <w:caps w:val="false"/>
                  <w:smallCaps w:val="false"/>
                  <w:sz w:val="20"/>
                </w:rPr>
                <w:t>Signatures</w:t>
              </w:r>
            </w:hyperlink>
          </w:p>
        </w:tc>
        <w:tc>
          <w:tcPr>
            <w:tcW w:w="5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7" w:name="_f52e9127_b7b0_408d_897a_4470510a90e3"/>
      <w:bookmarkEnd w:id="37"/>
      <w:r>
        <w:rPr>
          <w:rFonts w:ascii="Times New Roman;Times;serif" w:hAnsi="Times New Roman;Times;serif"/>
          <w:b/>
          <w:sz w:val="20"/>
        </w:rPr>
        <w:t>SPECIAL NOTE REGARDING FORWARD-LOOKING STATEMENTS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This Quarterly Report on Form 10-Q (this “Quarterly Report”)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include, but are not limited to, statements about: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our ability to raise financing in the future, including our ability to borrow additional funds under our current debt financing arrangements;</w:t>
            </w:r>
          </w:p>
        </w:tc>
      </w:tr>
    </w:tbl>
    <w:tbl>
      <w:tblPr>
        <w:tblW w:w="7976" w:type="dxa"/>
        <w:jc w:val="left"/>
        <w:tblInd w:w="0" w:type="dxa"/>
        <w:tblLayout w:type="fixed"/>
        <w:tblCellMar>
          <w:top w:w="28" w:type="dxa"/>
          <w:left w:w="28" w:type="dxa"/>
          <w:bottom w:w="28" w:type="dxa"/>
          <w:right w:w="28" w:type="dxa"/>
        </w:tblCellMar>
      </w:tblPr>
      <w:tblGrid>
        <w:gridCol w:w="124"/>
        <w:gridCol w:w="256"/>
        <w:gridCol w:w="7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our success in retaining or recruiting, or changes required in, our officers, key employees or directors;</w:t>
            </w:r>
          </w:p>
        </w:tc>
      </w:tr>
    </w:tbl>
    <w:tbl>
      <w:tblPr>
        <w:tblW w:w="8186" w:type="dxa"/>
        <w:jc w:val="left"/>
        <w:tblInd w:w="0" w:type="dxa"/>
        <w:tblLayout w:type="fixed"/>
        <w:tblCellMar>
          <w:top w:w="28" w:type="dxa"/>
          <w:left w:w="28" w:type="dxa"/>
          <w:bottom w:w="28" w:type="dxa"/>
          <w:right w:w="28" w:type="dxa"/>
        </w:tblCellMar>
      </w:tblPr>
      <w:tblGrid>
        <w:gridCol w:w="124"/>
        <w:gridCol w:w="256"/>
        <w:gridCol w:w="7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our ability and/or the ability of third-party vendors and partners to manufacture our product candidates;</w:t>
            </w:r>
          </w:p>
        </w:tc>
      </w:tr>
    </w:tbl>
    <w:tbl>
      <w:tblPr>
        <w:tblW w:w="7891" w:type="dxa"/>
        <w:jc w:val="left"/>
        <w:tblInd w:w="0" w:type="dxa"/>
        <w:tblLayout w:type="fixed"/>
        <w:tblCellMar>
          <w:top w:w="28" w:type="dxa"/>
          <w:left w:w="28" w:type="dxa"/>
          <w:bottom w:w="28" w:type="dxa"/>
          <w:right w:w="28" w:type="dxa"/>
        </w:tblCellMar>
      </w:tblPr>
      <w:tblGrid>
        <w:gridCol w:w="124"/>
        <w:gridCol w:w="256"/>
        <w:gridCol w:w="7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our ability to source critical components or materials for the manufacture of our product candidates;</w:t>
            </w:r>
          </w:p>
        </w:tc>
      </w:tr>
    </w:tbl>
    <w:tbl>
      <w:tblPr>
        <w:tblW w:w="3976" w:type="dxa"/>
        <w:jc w:val="left"/>
        <w:tblInd w:w="0" w:type="dxa"/>
        <w:tblLayout w:type="fixed"/>
        <w:tblCellMar>
          <w:top w:w="28" w:type="dxa"/>
          <w:left w:w="28" w:type="dxa"/>
          <w:bottom w:w="28" w:type="dxa"/>
          <w:right w:w="28" w:type="dxa"/>
        </w:tblCellMar>
      </w:tblPr>
      <w:tblGrid>
        <w:gridCol w:w="124"/>
        <w:gridCol w:w="256"/>
        <w:gridCol w:w="3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our ability to achieve and sustain profitability;</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our ability to achieve our projected development and commercialization goals;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the rate of progress, costs and results of our clinical studies and research and development activities, including, among other things, the dates by which we expect to complete enrollment of our BACKBEAT Global Pivotal Trial and our Virtue Trial;</w:t>
            </w:r>
          </w:p>
        </w:tc>
      </w:tr>
    </w:tbl>
    <w:tbl>
      <w:tblPr>
        <w:tblW w:w="4816" w:type="dxa"/>
        <w:jc w:val="left"/>
        <w:tblInd w:w="0" w:type="dxa"/>
        <w:tblLayout w:type="fixed"/>
        <w:tblCellMar>
          <w:top w:w="28" w:type="dxa"/>
          <w:left w:w="28" w:type="dxa"/>
          <w:bottom w:w="28" w:type="dxa"/>
          <w:right w:w="28" w:type="dxa"/>
        </w:tblCellMar>
      </w:tblPr>
      <w:tblGrid>
        <w:gridCol w:w="124"/>
        <w:gridCol w:w="256"/>
        <w:gridCol w:w="4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market acceptance of our product candidates, if approved;</w:t>
            </w:r>
          </w:p>
        </w:tc>
      </w:tr>
    </w:tbl>
    <w:tbl>
      <w:tblPr>
        <w:tblW w:w="7276" w:type="dxa"/>
        <w:jc w:val="left"/>
        <w:tblInd w:w="0" w:type="dxa"/>
        <w:tblLayout w:type="fixed"/>
        <w:tblCellMar>
          <w:top w:w="28" w:type="dxa"/>
          <w:left w:w="28" w:type="dxa"/>
          <w:bottom w:w="28" w:type="dxa"/>
          <w:right w:w="28" w:type="dxa"/>
        </w:tblCellMar>
      </w:tblPr>
      <w:tblGrid>
        <w:gridCol w:w="124"/>
        <w:gridCol w:w="256"/>
        <w:gridCol w:w="6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our ability to compete successfully with larger companies in a highly competitive industry;</w:t>
            </w:r>
          </w:p>
        </w:tc>
      </w:tr>
    </w:tbl>
    <w:tbl>
      <w:tblPr>
        <w:tblW w:w="7101" w:type="dxa"/>
        <w:jc w:val="left"/>
        <w:tblInd w:w="0" w:type="dxa"/>
        <w:tblLayout w:type="fixed"/>
        <w:tblCellMar>
          <w:top w:w="28" w:type="dxa"/>
          <w:left w:w="28" w:type="dxa"/>
          <w:bottom w:w="28" w:type="dxa"/>
          <w:right w:w="28" w:type="dxa"/>
        </w:tblCellMar>
      </w:tblPr>
      <w:tblGrid>
        <w:gridCol w:w="124"/>
        <w:gridCol w:w="256"/>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changes in our operating results, which make future operations results difficult to predict;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serious adverse events, undesirable side effects that could halt the clinical development, regulatory approval or certification, of our product candidates;</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our ability to manage growth or control costs related to growth;</w:t>
            </w:r>
          </w:p>
        </w:tc>
      </w:tr>
    </w:tbl>
    <w:tbl>
      <w:tblPr>
        <w:tblW w:w="7646" w:type="dxa"/>
        <w:jc w:val="left"/>
        <w:tblInd w:w="0" w:type="dxa"/>
        <w:tblLayout w:type="fixed"/>
        <w:tblCellMar>
          <w:top w:w="28" w:type="dxa"/>
          <w:left w:w="28" w:type="dxa"/>
          <w:bottom w:w="28" w:type="dxa"/>
          <w:right w:w="28" w:type="dxa"/>
        </w:tblCellMar>
      </w:tblPr>
      <w:tblGrid>
        <w:gridCol w:w="124"/>
        <w:gridCol w:w="256"/>
        <w:gridCol w:w="7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economic conditions that may adversely affect our business, financial condition and stock price;</w:t>
            </w:r>
          </w:p>
        </w:tc>
      </w:tr>
    </w:tbl>
    <w:tbl>
      <w:tblPr>
        <w:tblW w:w="8821" w:type="dxa"/>
        <w:jc w:val="left"/>
        <w:tblInd w:w="0" w:type="dxa"/>
        <w:tblLayout w:type="fixed"/>
        <w:tblCellMar>
          <w:top w:w="28" w:type="dxa"/>
          <w:left w:w="28" w:type="dxa"/>
          <w:bottom w:w="28" w:type="dxa"/>
          <w:right w:w="28" w:type="dxa"/>
        </w:tblCellMar>
      </w:tblPr>
      <w:tblGrid>
        <w:gridCol w:w="124"/>
        <w:gridCol w:w="256"/>
        <w:gridCol w:w="8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our reliance on third parties to drive successful marketing and sale of our initial product candidates, if approved;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our reliance on third parties to manufacture and provide important materials and components for our products and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our and our partners’ abilities to obtain necessary regulatory approvals and certifications for our product candidates in an uncomplicated and inexpensive manner;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our ability to maintain compliance with regulatory and post-marketing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adverse medical events, failure or malfunctions in connection with our product candidates and possible subjection to regulatory sanctions;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healthcare costs containment pressures and legislative or administrative reforms which affect coverage and reimbursement practices of third-party payors;</w:t>
            </w:r>
          </w:p>
        </w:tc>
      </w:tr>
    </w:tbl>
    <w:tbl>
      <w:tblPr>
        <w:tblW w:w="9916" w:type="dxa"/>
        <w:jc w:val="left"/>
        <w:tblInd w:w="0" w:type="dxa"/>
        <w:tblLayout w:type="fixed"/>
        <w:tblCellMar>
          <w:top w:w="28" w:type="dxa"/>
          <w:left w:w="28" w:type="dxa"/>
          <w:bottom w:w="28" w:type="dxa"/>
          <w:right w:w="28" w:type="dxa"/>
        </w:tblCellMar>
      </w:tblPr>
      <w:tblGrid>
        <w:gridCol w:w="124"/>
        <w:gridCol w:w="256"/>
        <w:gridCol w:w="9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our ability to protect or enforce our intellectual property, unpatented trade secrets, know-how and other proprietary technology;</w:t>
            </w:r>
          </w:p>
        </w:tc>
      </w:tr>
    </w:tbl>
    <w:tbl>
      <w:tblPr>
        <w:tblW w:w="6131" w:type="dxa"/>
        <w:jc w:val="left"/>
        <w:tblInd w:w="0" w:type="dxa"/>
        <w:tblLayout w:type="fixed"/>
        <w:tblCellMar>
          <w:top w:w="28" w:type="dxa"/>
          <w:left w:w="28" w:type="dxa"/>
          <w:bottom w:w="28" w:type="dxa"/>
          <w:right w:w="28" w:type="dxa"/>
        </w:tblCellMar>
      </w:tblPr>
      <w:tblGrid>
        <w:gridCol w:w="124"/>
        <w:gridCol w:w="256"/>
        <w:gridCol w:w="5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our ability to obtain necessary intellectual property rights from third parties;</w:t>
            </w:r>
          </w:p>
        </w:tc>
      </w:tr>
    </w:tbl>
    <w:tbl>
      <w:tblPr>
        <w:tblW w:w="6616" w:type="dxa"/>
        <w:jc w:val="left"/>
        <w:tblInd w:w="0" w:type="dxa"/>
        <w:tblLayout w:type="fixed"/>
        <w:tblCellMar>
          <w:top w:w="28" w:type="dxa"/>
          <w:left w:w="28" w:type="dxa"/>
          <w:bottom w:w="28" w:type="dxa"/>
          <w:right w:w="28" w:type="dxa"/>
        </w:tblCellMar>
      </w:tblPr>
      <w:tblGrid>
        <w:gridCol w:w="124"/>
        <w:gridCol w:w="256"/>
        <w:gridCol w:w="6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our ability to protect our trademarks, trade names and build our name recognition;</w:t>
            </w:r>
          </w:p>
        </w:tc>
      </w:tr>
    </w:tbl>
    <w:tbl>
      <w:tblPr>
        <w:tblW w:w="8206" w:type="dxa"/>
        <w:jc w:val="left"/>
        <w:tblInd w:w="0" w:type="dxa"/>
        <w:tblLayout w:type="fixed"/>
        <w:tblCellMar>
          <w:top w:w="28" w:type="dxa"/>
          <w:left w:w="28" w:type="dxa"/>
          <w:bottom w:w="28" w:type="dxa"/>
          <w:right w:w="28" w:type="dxa"/>
        </w:tblCellMar>
      </w:tblPr>
      <w:tblGrid>
        <w:gridCol w:w="124"/>
        <w:gridCol w:w="256"/>
        <w:gridCol w:w="7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 xml:space="preserve">our ability to maintain the listing of our common stock on The Nasdaq Stock Market LLC (“Nasdaq”); </w:t>
            </w:r>
          </w:p>
        </w:tc>
      </w:tr>
    </w:tbl>
    <w:tbl>
      <w:tblPr>
        <w:tblW w:w="3806" w:type="dxa"/>
        <w:jc w:val="left"/>
        <w:tblInd w:w="0" w:type="dxa"/>
        <w:tblLayout w:type="fixed"/>
        <w:tblCellMar>
          <w:top w:w="28" w:type="dxa"/>
          <w:left w:w="28" w:type="dxa"/>
          <w:bottom w:w="28" w:type="dxa"/>
          <w:right w:w="28" w:type="dxa"/>
        </w:tblCellMar>
      </w:tblPr>
      <w:tblGrid>
        <w:gridCol w:w="124"/>
        <w:gridCol w:w="256"/>
        <w:gridCol w:w="3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the success of our licensing agreements; and</w:t>
            </w:r>
          </w:p>
        </w:tc>
      </w:tr>
    </w:tbl>
    <w:tbl>
      <w:tblPr>
        <w:tblW w:w="3686" w:type="dxa"/>
        <w:jc w:val="left"/>
        <w:tblInd w:w="0" w:type="dxa"/>
        <w:tblLayout w:type="fixed"/>
        <w:tblCellMar>
          <w:top w:w="28" w:type="dxa"/>
          <w:left w:w="28" w:type="dxa"/>
          <w:bottom w:w="28" w:type="dxa"/>
          <w:right w:w="28" w:type="dxa"/>
        </w:tblCellMar>
      </w:tblPr>
      <w:tblGrid>
        <w:gridCol w:w="124"/>
        <w:gridCol w:w="256"/>
        <w:gridCol w:w="3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our public securities’ liquidity and trading.</w:t>
            </w:r>
          </w:p>
        </w:tc>
      </w:tr>
    </w:tbl>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report and are subject to a number of risks, uncertainties, and assumptions described under the headings “Item 1A. Risk Factors” in Part I of our Annual Report on Form 10-K for the year ended December 31, 2025 (the “2025 10-K”) filed with SEC on March 12, 2026 as well as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do not plan to publicly update or revise any forward-looking statements contained herein whether as a result of any new information, future events, or otherwise, except as required by law.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center"/>
        <w:rPr>
          <w:rFonts w:ascii="Times New Roman;Times;serif" w:hAnsi="Times New Roman;Times;serif"/>
          <w:b/>
          <w:sz w:val="20"/>
        </w:rPr>
      </w:pPr>
      <w:bookmarkStart w:id="38" w:name="PARTIFINANCIALINFORMATION_947780"/>
      <w:bookmarkStart w:id="39" w:name="_e84ce6a4_9233_48e4_8224_329766c621bd"/>
      <w:bookmarkEnd w:id="38"/>
      <w:bookmarkEnd w:id="39"/>
      <w:r>
        <w:rPr>
          <w:rFonts w:ascii="Times New Roman;Times;serif" w:hAnsi="Times New Roman;Times;serif"/>
          <w:b/>
          <w:sz w:val="20"/>
        </w:rPr>
        <w:t>PART I—FINANCIAL INFORMATION</w:t>
      </w:r>
    </w:p>
    <w:p>
      <w:pPr>
        <w:pStyle w:val="TextBody"/>
        <w:bidi w:val="0"/>
        <w:spacing w:before="0" w:after="240"/>
        <w:ind w:left="0" w:right="0" w:hanging="0"/>
        <w:jc w:val="left"/>
        <w:rPr>
          <w:rFonts w:ascii="Times New Roman;Times;serif" w:hAnsi="Times New Roman;Times;serif"/>
          <w:b/>
          <w:sz w:val="20"/>
        </w:rPr>
      </w:pPr>
      <w:bookmarkStart w:id="40" w:name="Item1FinancialStatements_676566"/>
      <w:bookmarkEnd w:id="40"/>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ORCHESTRA BIOMED HOLDINGS, INC.</w:t>
      </w:r>
    </w:p>
    <w:p>
      <w:pPr>
        <w:pStyle w:val="TextBody"/>
        <w:bidi w:val="0"/>
        <w:spacing w:before="0" w:after="0"/>
        <w:ind w:left="0" w:right="0" w:hanging="0"/>
        <w:jc w:val="center"/>
        <w:rPr>
          <w:rFonts w:ascii="Times New Roman;Times;serif" w:hAnsi="Times New Roman;Times;serif"/>
          <w:b/>
          <w:sz w:val="20"/>
        </w:rPr>
      </w:pPr>
      <w:bookmarkStart w:id="41" w:name="CondensedConsolidatedBalanceSheets_10989"/>
      <w:bookmarkEnd w:id="41"/>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42" w:name="Tc_fueeB71yN06toL1xaRLRMg_40_5"/>
      <w:bookmarkStart w:id="43" w:name="Tc_44eugvpypkStp2ywxZjOyw_40_2"/>
      <w:bookmarkStart w:id="44" w:name="Tc_RN8J4T6NrkWilfAb2l9heg_40_0"/>
      <w:bookmarkStart w:id="45" w:name="Tc_U6nxwQBEw02RgZZpMIk-vA_39_0"/>
      <w:bookmarkStart w:id="46" w:name="Tc_0KoqCxEJUU2Ib1Z2QnAU-g_38_0"/>
      <w:bookmarkStart w:id="47" w:name="Tc_6wqqzUvGeUGvQwgUfQ5J1g_37_0"/>
      <w:bookmarkStart w:id="48" w:name="Tc_DbN77f2BhkCTUQ940DKoIQ_36_0"/>
      <w:bookmarkStart w:id="49" w:name="Tc_TlwyfBJyAkSh7iNUTu4fUw_35_0"/>
      <w:bookmarkStart w:id="50" w:name="Tc_m4O7aF60yEaA0NUsdKFyhg_34_0"/>
      <w:bookmarkStart w:id="51" w:name="Tc_R1fpLjMr402mddTM4M_-CA_33_0"/>
      <w:bookmarkStart w:id="52" w:name="_158e1c5c_3c4a_46e5_a56e_e5ef4cd60135_3"/>
      <w:bookmarkStart w:id="53" w:name="_158e1c5c_3c4a_46e5_a56e_e5ef4cd60135_2"/>
      <w:bookmarkStart w:id="54" w:name="_158e1c5c_3c4a_46e5_a56e_e5ef4cd60135"/>
      <w:bookmarkStart w:id="55" w:name="Tc_wHtbGas8gkCj5Fv3aCsdOQ_31_0"/>
      <w:bookmarkStart w:id="56" w:name="Tc_StwTSG42Z0CtscLswyWuxA_29_0"/>
      <w:bookmarkStart w:id="57" w:name="Tc_WsGFgDf5s0uW6vjikEM1BQ_28_0"/>
      <w:bookmarkStart w:id="58" w:name="Tc_LWkfcRUcR0OQ04gR-cfVRQ_27_0"/>
      <w:bookmarkStart w:id="59" w:name="Tc_KgWG8P4XNEak2LmdL0ASzw_26_0"/>
      <w:bookmarkStart w:id="60" w:name="Tc_SQJooAkzR0imfofsYNd6VQ_25_0"/>
      <w:bookmarkStart w:id="61" w:name="Tc_Pmq98F12j0qKU9TWIk-nQA_24_6"/>
      <w:bookmarkStart w:id="62" w:name="Tc_FjxBnVD7KkSpV-8kxLmKIw_24_0"/>
      <w:bookmarkStart w:id="63" w:name="Tc_BFdpe4AuDUuuhqgRIskVQQ_23_0"/>
      <w:bookmarkStart w:id="64" w:name="Tc_47EAxi-9VU6WY7I9G4oCUw_22_0"/>
      <w:bookmarkStart w:id="65" w:name="Tc_sv6JW_SXqUOSN_ThSNy6Sg_21_0"/>
      <w:bookmarkStart w:id="66" w:name="Tc_MkSImmjtxUqieIQx0Wm1Mw_20_0"/>
      <w:bookmarkStart w:id="67" w:name="Tc_OcGZAiXwt0SaPQpjw2_l9w_19_5"/>
      <w:bookmarkStart w:id="68" w:name="Tc_BPnh5eGkIEOeuQrHQ06AIA_19_2"/>
      <w:bookmarkStart w:id="69" w:name="Tc_ne38SlT0W02wposxdml27w_19_0"/>
      <w:bookmarkStart w:id="70" w:name="Tc_hfupzAt1i0GuKWp_OOv3nQ_18_0"/>
      <w:bookmarkStart w:id="71" w:name="Tc_7oRAWuF7FE6lzLcgnxgyWQ_17_0"/>
      <w:bookmarkStart w:id="72" w:name="Tc_kUDjjKnMBkWdeplviIB7DQ_15_5"/>
      <w:bookmarkStart w:id="73" w:name="Tc_Cg7cuzRxrEy0Qe2eECqDyg_15_2"/>
      <w:bookmarkStart w:id="74" w:name="Tc_pApvkDdAJ0SwoixeGXL_vw_15_0"/>
      <w:bookmarkStart w:id="75" w:name="Tc__KPAGVO4YkOVi1kP9OZiTw_14_0"/>
      <w:bookmarkStart w:id="76" w:name="Tc_G2uxQ8pjvkmcjrM1oYtSsQ_13_3"/>
      <w:bookmarkStart w:id="77" w:name="Tc_61UXn75JZ0KjRmVYAhkFsA_13_0"/>
      <w:bookmarkStart w:id="78" w:name="Tc_T7RS-d-IQkGGgFc4yM5yVg_12_0"/>
      <w:bookmarkStart w:id="79" w:name="Tc_YV1VpGLHwk-r1nQdgQB4Kg_11_0"/>
      <w:bookmarkStart w:id="80" w:name="Tc_AWXmOdOO5kaUmBp0aU-zFQ_10_0"/>
      <w:bookmarkStart w:id="81" w:name="Tc_VlMYN0_Dr02smaRNXgYCHw_9_0"/>
      <w:bookmarkStart w:id="82" w:name="Tc_XxHTogfxS0y3ccP9pCUmAA_8_0"/>
      <w:bookmarkStart w:id="83" w:name="Tc_V3dnNjK6rkySS-NAn6LbvA_7_0"/>
      <w:bookmarkStart w:id="84" w:name="Tc_8QxwDscrpEKSi2oQEfwF7A_6_0"/>
      <w:bookmarkStart w:id="85" w:name="Tc_TtGUhLPpNEibcEFcyDxN5A_5_5"/>
      <w:bookmarkStart w:id="86" w:name="Tc_8ugh4IwJ4E-Q54jD_pP6lQ_5_2"/>
      <w:bookmarkStart w:id="87" w:name="Tc_0YsSlVwZY0CpBOAKUfjjzA_5_0"/>
      <w:bookmarkStart w:id="88" w:name="Tc_KGzCoRL-aU2raDiLCe6hSg_4_0"/>
      <w:bookmarkStart w:id="89" w:name="Tc_iazNmvg_V0yeEShHGohmsQ_3_0"/>
      <w:bookmarkStart w:id="90" w:name="Tc_2yG_WN8EVEmdDC5u3xzZMw_2_5"/>
      <w:bookmarkStart w:id="91" w:name="Tc_HbGS8XB7HkuSvP6PxfXL-g_2_2"/>
      <w:bookmarkStart w:id="92" w:name="Tc_mkjaQwON70-2jo8zCbHMZQ_1_5"/>
      <w:bookmarkStart w:id="93" w:name="Tc_3xuu_qhUnU-ZEmSQmdN8lg_1_2"/>
      <w:bookmarkStart w:id="94" w:name="_398b94a8_ea04_4378_8806_85247061165b"/>
      <w:bookmarkStart w:id="95" w:name="Tc_fueeB71yN06toL1xaRLRMg_40_5"/>
      <w:bookmarkStart w:id="96" w:name="Tc_44eugvpypkStp2ywxZjOyw_40_2"/>
      <w:bookmarkStart w:id="97" w:name="Tc_RN8J4T6NrkWilfAb2l9heg_40_0"/>
      <w:bookmarkStart w:id="98" w:name="Tc_U6nxwQBEw02RgZZpMIk-vA_39_0"/>
      <w:bookmarkStart w:id="99" w:name="Tc_0KoqCxEJUU2Ib1Z2QnAU-g_38_0"/>
      <w:bookmarkStart w:id="100" w:name="Tc_6wqqzUvGeUGvQwgUfQ5J1g_37_0"/>
      <w:bookmarkStart w:id="101" w:name="Tc_DbN77f2BhkCTUQ940DKoIQ_36_0"/>
      <w:bookmarkStart w:id="102" w:name="Tc_TlwyfBJyAkSh7iNUTu4fUw_35_0"/>
      <w:bookmarkStart w:id="103" w:name="Tc_m4O7aF60yEaA0NUsdKFyhg_34_0"/>
      <w:bookmarkStart w:id="104" w:name="Tc_R1fpLjMr402mddTM4M_-CA_33_0"/>
      <w:bookmarkStart w:id="105" w:name="_158e1c5c_3c4a_46e5_a56e_e5ef4cd60135_3"/>
      <w:bookmarkStart w:id="106" w:name="_158e1c5c_3c4a_46e5_a56e_e5ef4cd60135_2"/>
      <w:bookmarkStart w:id="107" w:name="_158e1c5c_3c4a_46e5_a56e_e5ef4cd60135"/>
      <w:bookmarkStart w:id="108" w:name="Tc_wHtbGas8gkCj5Fv3aCsdOQ_31_0"/>
      <w:bookmarkStart w:id="109" w:name="Tc_StwTSG42Z0CtscLswyWuxA_29_0"/>
      <w:bookmarkStart w:id="110" w:name="Tc_WsGFgDf5s0uW6vjikEM1BQ_28_0"/>
      <w:bookmarkStart w:id="111" w:name="Tc_LWkfcRUcR0OQ04gR-cfVRQ_27_0"/>
      <w:bookmarkStart w:id="112" w:name="Tc_KgWG8P4XNEak2LmdL0ASzw_26_0"/>
      <w:bookmarkStart w:id="113" w:name="Tc_SQJooAkzR0imfofsYNd6VQ_25_0"/>
      <w:bookmarkStart w:id="114" w:name="Tc_Pmq98F12j0qKU9TWIk-nQA_24_6"/>
      <w:bookmarkStart w:id="115" w:name="Tc_FjxBnVD7KkSpV-8kxLmKIw_24_0"/>
      <w:bookmarkStart w:id="116" w:name="Tc_BFdpe4AuDUuuhqgRIskVQQ_23_0"/>
      <w:bookmarkStart w:id="117" w:name="Tc_47EAxi-9VU6WY7I9G4oCUw_22_0"/>
      <w:bookmarkStart w:id="118" w:name="Tc_sv6JW_SXqUOSN_ThSNy6Sg_21_0"/>
      <w:bookmarkStart w:id="119" w:name="Tc_MkSImmjtxUqieIQx0Wm1Mw_20_0"/>
      <w:bookmarkStart w:id="120" w:name="Tc_OcGZAiXwt0SaPQpjw2_l9w_19_5"/>
      <w:bookmarkStart w:id="121" w:name="Tc_BPnh5eGkIEOeuQrHQ06AIA_19_2"/>
      <w:bookmarkStart w:id="122" w:name="Tc_ne38SlT0W02wposxdml27w_19_0"/>
      <w:bookmarkStart w:id="123" w:name="Tc_hfupzAt1i0GuKWp_OOv3nQ_18_0"/>
      <w:bookmarkStart w:id="124" w:name="Tc_7oRAWuF7FE6lzLcgnxgyWQ_17_0"/>
      <w:bookmarkStart w:id="125" w:name="Tc_kUDjjKnMBkWdeplviIB7DQ_15_5"/>
      <w:bookmarkStart w:id="126" w:name="Tc_Cg7cuzRxrEy0Qe2eECqDyg_15_2"/>
      <w:bookmarkStart w:id="127" w:name="Tc_pApvkDdAJ0SwoixeGXL_vw_15_0"/>
      <w:bookmarkStart w:id="128" w:name="Tc__KPAGVO4YkOVi1kP9OZiTw_14_0"/>
      <w:bookmarkStart w:id="129" w:name="Tc_G2uxQ8pjvkmcjrM1oYtSsQ_13_3"/>
      <w:bookmarkStart w:id="130" w:name="Tc_61UXn75JZ0KjRmVYAhkFsA_13_0"/>
      <w:bookmarkStart w:id="131" w:name="Tc_T7RS-d-IQkGGgFc4yM5yVg_12_0"/>
      <w:bookmarkStart w:id="132" w:name="Tc_YV1VpGLHwk-r1nQdgQB4Kg_11_0"/>
      <w:bookmarkStart w:id="133" w:name="Tc_AWXmOdOO5kaUmBp0aU-zFQ_10_0"/>
      <w:bookmarkStart w:id="134" w:name="Tc_VlMYN0_Dr02smaRNXgYCHw_9_0"/>
      <w:bookmarkStart w:id="135" w:name="Tc_XxHTogfxS0y3ccP9pCUmAA_8_0"/>
      <w:bookmarkStart w:id="136" w:name="Tc_V3dnNjK6rkySS-NAn6LbvA_7_0"/>
      <w:bookmarkStart w:id="137" w:name="Tc_8QxwDscrpEKSi2oQEfwF7A_6_0"/>
      <w:bookmarkStart w:id="138" w:name="Tc_TtGUhLPpNEibcEFcyDxN5A_5_5"/>
      <w:bookmarkStart w:id="139" w:name="Tc_8ugh4IwJ4E-Q54jD_pP6lQ_5_2"/>
      <w:bookmarkStart w:id="140" w:name="Tc_0YsSlVwZY0CpBOAKUfjjzA_5_0"/>
      <w:bookmarkStart w:id="141" w:name="Tc_KGzCoRL-aU2raDiLCe6hSg_4_0"/>
      <w:bookmarkStart w:id="142" w:name="Tc_iazNmvg_V0yeEShHGohmsQ_3_0"/>
      <w:bookmarkStart w:id="143" w:name="Tc_2yG_WN8EVEmdDC5u3xzZMw_2_5"/>
      <w:bookmarkStart w:id="144" w:name="Tc_HbGS8XB7HkuSvP6PxfXL-g_2_2"/>
      <w:bookmarkStart w:id="145" w:name="Tc_mkjaQwON70-2jo8zCbHMZQ_1_5"/>
      <w:bookmarkStart w:id="146" w:name="Tc_3xuu_qhUnU-ZEmSQmdN8lg_1_2"/>
      <w:bookmarkStart w:id="147" w:name="_398b94a8_ea04_4378_8806_85247061165b"/>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tbl>
      <w:tblPr>
        <w:tblW w:w="10205" w:type="dxa"/>
        <w:jc w:val="left"/>
        <w:tblInd w:w="0" w:type="dxa"/>
        <w:tblLayout w:type="fixed"/>
        <w:tblCellMar>
          <w:top w:w="0" w:type="dxa"/>
          <w:left w:w="0" w:type="dxa"/>
          <w:bottom w:w="0" w:type="dxa"/>
          <w:right w:w="0" w:type="dxa"/>
        </w:tblCellMar>
      </w:tblPr>
      <w:tblGrid>
        <w:gridCol w:w="7400"/>
        <w:gridCol w:w="346"/>
        <w:gridCol w:w="196"/>
        <w:gridCol w:w="779"/>
        <w:gridCol w:w="346"/>
        <w:gridCol w:w="223"/>
        <w:gridCol w:w="915"/>
      </w:tblGrid>
      <w:tr>
        <w:trPr/>
        <w:tc>
          <w:tcPr>
            <w:tcW w:w="7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699000" cy="175260"/>
                      <wp:effectExtent l="0" t="0" r="0" b="0"/>
                      <wp:wrapNone/>
                      <wp:docPr id="2" name="Frame1"/>
                      <a:graphic xmlns:a="http://schemas.openxmlformats.org/drawingml/2006/main">
                        <a:graphicData uri="http://schemas.microsoft.com/office/word/2010/wordprocessingShape">
                          <wps:wsp>
                            <wps:cNvSpPr txBox="1"/>
                            <wps:spPr>
                              <a:xfrm>
                                <a:off x="0" y="0"/>
                                <a:ext cx="4699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3"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24460" cy="175260"/>
                      <wp:effectExtent l="0" t="0" r="0" b="0"/>
                      <wp:wrapNone/>
                      <wp:docPr id="4"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94665" cy="175260"/>
                      <wp:effectExtent l="0" t="0" r="0" b="0"/>
                      <wp:wrapNone/>
                      <wp:docPr id="5" name="Frame4"/>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41605" cy="175260"/>
                      <wp:effectExtent l="0" t="0" r="0" b="0"/>
                      <wp:wrapNone/>
                      <wp:docPr id="7" name="Frame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81025" cy="175260"/>
                      <wp:effectExtent l="0" t="0" r="0" b="0"/>
                      <wp:wrapNone/>
                      <wp:docPr id="8" name="Frame7"/>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13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4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0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23"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pPr>
            <w:r>
              <w:rPr/>
              <w:t>  ​</w:t>
            </w:r>
          </w:p>
        </w:tc>
      </w:tr>
      <w:tr>
        <w:trPr/>
        <w:tc>
          <w:tcPr>
            <w:tcW w:w="74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23"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pPr>
            <w:r>
              <w:rPr/>
              <w:t>  ​</w:t>
            </w:r>
          </w:p>
        </w:tc>
      </w:tr>
      <w:tr>
        <w:trPr/>
        <w:tc>
          <w:tcPr>
            <w:tcW w:w="74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20,472</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34,690</w:t>
            </w:r>
          </w:p>
        </w:tc>
      </w:tr>
      <w:tr>
        <w:trPr/>
        <w:tc>
          <w:tcPr>
            <w:tcW w:w="74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Marketable securities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89,491</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71,822</w:t>
            </w:r>
          </w:p>
        </w:tc>
      </w:tr>
      <w:tr>
        <w:trPr/>
        <w:tc>
          <w:tcPr>
            <w:tcW w:w="74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w:t>
            </w:r>
          </w:p>
        </w:tc>
      </w:tr>
      <w:tr>
        <w:trPr/>
        <w:tc>
          <w:tcPr>
            <w:tcW w:w="74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310</w:t>
            </w:r>
          </w:p>
        </w:tc>
      </w:tr>
      <w:tr>
        <w:trPr/>
        <w:tc>
          <w:tcPr>
            <w:tcW w:w="74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977</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994</w:t>
            </w:r>
          </w:p>
        </w:tc>
      </w:tr>
      <w:tr>
        <w:trPr/>
        <w:tc>
          <w:tcPr>
            <w:tcW w:w="7400"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111,241</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107,911</w:t>
            </w:r>
          </w:p>
        </w:tc>
      </w:tr>
      <w:tr>
        <w:trPr/>
        <w:tc>
          <w:tcPr>
            <w:tcW w:w="74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2,045</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1,715</w:t>
            </w:r>
          </w:p>
        </w:tc>
      </w:tr>
      <w:tr>
        <w:trPr/>
        <w:tc>
          <w:tcPr>
            <w:tcW w:w="74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Right-of-use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1,171</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1,496</w:t>
            </w:r>
          </w:p>
        </w:tc>
      </w:tr>
      <w:tr>
        <w:trPr/>
        <w:tc>
          <w:tcPr>
            <w:tcW w:w="74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Strategic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2,495</w:t>
            </w:r>
          </w:p>
        </w:tc>
      </w:tr>
      <w:tr>
        <w:trPr/>
        <w:tc>
          <w:tcPr>
            <w:tcW w:w="74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Deposits and other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1,243</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1,240</w:t>
            </w:r>
          </w:p>
        </w:tc>
      </w:tr>
      <w:tr>
        <w:trPr/>
        <w:tc>
          <w:tcPr>
            <w:tcW w:w="740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115,700</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114,857</w:t>
            </w:r>
          </w:p>
        </w:tc>
      </w:tr>
      <w:tr>
        <w:trPr/>
        <w:tc>
          <w:tcPr>
            <w:tcW w:w="74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pPr>
            <w:r>
              <w:rPr/>
              <w:t>​</w:t>
            </w:r>
          </w:p>
        </w:tc>
      </w:tr>
      <w:tr>
        <w:trPr/>
        <w:tc>
          <w:tcPr>
            <w:tcW w:w="740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LIABILITIES, SERIES A PREFERRED STOCK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pPr>
            <w:r>
              <w:rPr/>
              <w:t>  ​</w:t>
            </w:r>
          </w:p>
        </w:tc>
      </w:tr>
      <w:tr>
        <w:trPr/>
        <w:tc>
          <w:tcPr>
            <w:tcW w:w="74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pPr>
            <w:r>
              <w:rPr/>
              <w:t>  ​</w:t>
            </w:r>
          </w:p>
        </w:tc>
      </w:tr>
      <w:tr>
        <w:trPr/>
        <w:tc>
          <w:tcPr>
            <w:tcW w:w="74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6,132</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6,095</w:t>
            </w:r>
          </w:p>
        </w:tc>
      </w:tr>
      <w:tr>
        <w:trPr/>
        <w:tc>
          <w:tcPr>
            <w:tcW w:w="74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expenses and other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6,531</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9,890</w:t>
            </w:r>
          </w:p>
        </w:tc>
      </w:tr>
      <w:tr>
        <w:trPr/>
        <w:tc>
          <w:tcPr>
            <w:tcW w:w="74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liability, current portion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808</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751</w:t>
            </w:r>
          </w:p>
        </w:tc>
      </w:tr>
      <w:tr>
        <w:trPr/>
        <w:tc>
          <w:tcPr>
            <w:tcW w:w="7400"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13,471</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16,736</w:t>
            </w:r>
          </w:p>
        </w:tc>
      </w:tr>
      <w:tr>
        <w:trPr/>
        <w:tc>
          <w:tcPr>
            <w:tcW w:w="74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Royalty purchase agreement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34,593</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16,482</w:t>
            </w:r>
          </w:p>
        </w:tc>
      </w:tr>
      <w:tr>
        <w:trPr/>
        <w:tc>
          <w:tcPr>
            <w:tcW w:w="74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Note payable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20,442</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pPr>
            <w:r>
              <w:rPr/>
              <w:t>—</w:t>
            </w:r>
          </w:p>
        </w:tc>
      </w:tr>
      <w:tr>
        <w:trPr/>
        <w:tc>
          <w:tcPr>
            <w:tcW w:w="74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14,397</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14,268</w:t>
            </w:r>
          </w:p>
        </w:tc>
      </w:tr>
      <w:tr>
        <w:trPr/>
        <w:tc>
          <w:tcPr>
            <w:tcW w:w="74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liability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2,460</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2,749</w:t>
            </w:r>
          </w:p>
        </w:tc>
      </w:tr>
      <w:tr>
        <w:trPr/>
        <w:tc>
          <w:tcPr>
            <w:tcW w:w="74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liability, less current portion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520</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936</w:t>
            </w:r>
          </w:p>
        </w:tc>
      </w:tr>
      <w:tr>
        <w:trPr/>
        <w:tc>
          <w:tcPr>
            <w:tcW w:w="74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397</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308</w:t>
            </w:r>
          </w:p>
        </w:tc>
      </w:tr>
      <w:tr>
        <w:trPr/>
        <w:tc>
          <w:tcPr>
            <w:tcW w:w="740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86,280</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51,479</w:t>
            </w:r>
          </w:p>
        </w:tc>
      </w:tr>
      <w:tr>
        <w:trPr/>
        <w:tc>
          <w:tcPr>
            <w:tcW w:w="74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pPr>
            <w:r>
              <w:rPr/>
              <w:t>​</w:t>
            </w:r>
          </w:p>
        </w:tc>
      </w:tr>
      <w:tr>
        <w:trPr/>
        <w:tc>
          <w:tcPr>
            <w:tcW w:w="74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Series A Preferred Stock, $0.0001 par value per share; 200,000 issued and outstanding at June 30, 2026 and December 31, 2025; aggregate liquidation preference of $20,000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10,097</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9,808</w:t>
            </w:r>
          </w:p>
        </w:tc>
      </w:tr>
      <w:tr>
        <w:trPr/>
        <w:tc>
          <w:tcPr>
            <w:tcW w:w="74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pPr>
            <w:r>
              <w:rPr/>
              <w:t>​</w:t>
            </w:r>
          </w:p>
        </w:tc>
      </w:tr>
      <w:tr>
        <w:trPr/>
        <w:tc>
          <w:tcPr>
            <w:tcW w:w="74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pPr>
            <w:r>
              <w:rPr/>
              <w:t>  ​</w:t>
            </w:r>
          </w:p>
        </w:tc>
      </w:tr>
      <w:tr>
        <w:trPr/>
        <w:tc>
          <w:tcPr>
            <w:tcW w:w="74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Preferred stock, $0.0001 par value, 10,000,000 shares authorized;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4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8"/>
              </w:rPr>
              <w:t>Common stock, $0.0001</w:t>
            </w:r>
            <w:r>
              <w:rPr>
                <w:rFonts w:ascii="Times New Roman;Times;serif" w:hAnsi="Times New Roman;Times;serif"/>
                <w:sz w:val="20"/>
              </w:rPr>
              <w:t xml:space="preserve"> </w:t>
            </w:r>
            <w:r>
              <w:rPr>
                <w:rFonts w:ascii="Times New Roman;Times;serif" w:hAnsi="Times New Roman;Times;serif"/>
                <w:sz w:val="18"/>
              </w:rPr>
              <w:t>par value per share; 340,000,000</w:t>
            </w:r>
            <w:r>
              <w:rPr>
                <w:rFonts w:ascii="Times New Roman;Times;serif" w:hAnsi="Times New Roman;Times;serif"/>
                <w:sz w:val="20"/>
              </w:rPr>
              <w:t xml:space="preserve"> </w:t>
            </w:r>
            <w:r>
              <w:rPr>
                <w:rFonts w:ascii="Times New Roman;Times;serif" w:hAnsi="Times New Roman;Times;serif"/>
                <w:sz w:val="18"/>
              </w:rPr>
              <w:t>shares authorized; 60,105,049</w:t>
            </w:r>
            <w:r>
              <w:rPr>
                <w:rFonts w:ascii="Times New Roman;Times;serif" w:hAnsi="Times New Roman;Times;serif"/>
                <w:sz w:val="20"/>
              </w:rPr>
              <w:t xml:space="preserve"> </w:t>
            </w:r>
            <w:r>
              <w:rPr>
                <w:rFonts w:ascii="Times New Roman;Times;serif" w:hAnsi="Times New Roman;Times;serif"/>
                <w:sz w:val="18"/>
              </w:rPr>
              <w:t>and 57,032,963</w:t>
            </w:r>
            <w:r>
              <w:rPr>
                <w:rFonts w:ascii="Times New Roman;Times;serif" w:hAnsi="Times New Roman;Times;serif"/>
                <w:sz w:val="20"/>
              </w:rPr>
              <w:t xml:space="preserve"> </w:t>
            </w:r>
            <w:r>
              <w:rPr>
                <w:rFonts w:ascii="Times New Roman;Times;serif" w:hAnsi="Times New Roman;Times;serif"/>
                <w:sz w:val="18"/>
              </w:rPr>
              <w:t xml:space="preserve">shares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as of June 30,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r>
      <w:tr>
        <w:trPr/>
        <w:tc>
          <w:tcPr>
            <w:tcW w:w="74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426,423</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416,083</w:t>
            </w:r>
          </w:p>
        </w:tc>
      </w:tr>
      <w:tr>
        <w:trPr/>
        <w:tc>
          <w:tcPr>
            <w:tcW w:w="74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other comprehensive (loss)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w:t>
            </w:r>
          </w:p>
        </w:tc>
      </w:tr>
      <w:tr>
        <w:trPr/>
        <w:tc>
          <w:tcPr>
            <w:tcW w:w="74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(407,025)</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(362,579)</w:t>
            </w:r>
          </w:p>
        </w:tc>
      </w:tr>
      <w:tr>
        <w:trPr/>
        <w:tc>
          <w:tcPr>
            <w:tcW w:w="74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19,323</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53,570</w:t>
            </w:r>
          </w:p>
        </w:tc>
      </w:tr>
      <w:tr>
        <w:trPr/>
        <w:tc>
          <w:tcPr>
            <w:tcW w:w="7400"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 SERIES A PREFERRED STOCK AND STOCKHOLDERS’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115,700</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114,857</w:t>
            </w:r>
          </w:p>
        </w:tc>
      </w:tr>
    </w:tbl>
    <w:p>
      <w:pPr>
        <w:pStyle w:val="TextBody"/>
        <w:bidi w:val="0"/>
        <w:spacing w:before="0" w:after="240"/>
        <w:ind w:left="0" w:right="0" w:firstLine="36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8" w:name="_da7696e5_5662_4792_922f_0b1111fecc26"/>
      <w:bookmarkEnd w:id="148"/>
      <w:r>
        <w:rPr>
          <w:rFonts w:ascii="Times New Roman;Times;serif" w:hAnsi="Times New Roman;Times;serif"/>
          <w:b/>
          <w:sz w:val="20"/>
        </w:rPr>
        <w:t>ORCHESTRA BIOMED HOLDINGS, INC.</w:t>
      </w:r>
    </w:p>
    <w:p>
      <w:pPr>
        <w:pStyle w:val="TextBody"/>
        <w:bidi w:val="0"/>
        <w:spacing w:before="0" w:after="0"/>
        <w:ind w:left="0" w:right="0" w:hanging="0"/>
        <w:jc w:val="center"/>
        <w:rPr>
          <w:rFonts w:ascii="Times New Roman;Times;serif" w:hAnsi="Times New Roman;Times;serif"/>
          <w:b/>
          <w:sz w:val="20"/>
        </w:rPr>
      </w:pPr>
      <w:bookmarkStart w:id="149" w:name="CondensedConsolidatedStatementsofOperati"/>
      <w:bookmarkEnd w:id="149"/>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50" w:name="Tc_MUf_YWARmE2VyYpHvyOcrA_28_11"/>
      <w:bookmarkStart w:id="151" w:name="Tc_Zmn2drU5l0Wn1ea03Cb2-w_28_8"/>
      <w:bookmarkStart w:id="152" w:name="Tc_nC-VDPnax0yJ_UQPXwKHaA_28_5"/>
      <w:bookmarkStart w:id="153" w:name="Tc_TAaN9E8ZREW47xMKeLSqaw_28_2"/>
      <w:bookmarkStart w:id="154" w:name="Tc_o7Q7Tbj0BEOiMluPS3OT_Q_28_0"/>
      <w:bookmarkStart w:id="155" w:name="Tc_6m-r17MaF0OG-EljOw_pLg_27_0"/>
      <w:bookmarkStart w:id="156" w:name="Tc_7DCATMSmEUmr1jnVGAhFoQ_26_11"/>
      <w:bookmarkStart w:id="157" w:name="Tc_nDJSNyd87kmLl21Tp7tyJg_26_8"/>
      <w:bookmarkStart w:id="158" w:name="Tc_OaEOFUorP0KhGrSpoQhOLQ_26_5"/>
      <w:bookmarkStart w:id="159" w:name="Tc_dk_xIWI9ZkuTsPG_S1dAVg_26_2"/>
      <w:bookmarkStart w:id="160" w:name="Tc_yv79SQu6wEWGZ5cyA246vg_26_0"/>
      <w:bookmarkStart w:id="161" w:name="Tc_8DFjxbVrQ0K_Tm_L9NHCOw_25_0"/>
      <w:bookmarkStart w:id="162" w:name="Tc_pjGmSJtr0k-9mDIsuXGvYw_24_0"/>
      <w:bookmarkStart w:id="163" w:name="Tc_rV-aKsiBGU-47JFnNPzpSQ_23_11"/>
      <w:bookmarkStart w:id="164" w:name="Tc_RqI4SS1p7EujEKVL_24jkA_23_8"/>
      <w:bookmarkStart w:id="165" w:name="Tc_O2K8BWfCEUi8NqLg7GMgww_23_5"/>
      <w:bookmarkStart w:id="166" w:name="Tc_DYdZp0rWf0yByVk2JmojPA_23_2"/>
      <w:bookmarkStart w:id="167" w:name="Tc_drxki7CXEEOJSfIIn2XwYQ_23_0"/>
      <w:bookmarkStart w:id="168" w:name="Tc_PYNw7xZwPUmTmFg3LKqWRQ_22_0"/>
      <w:bookmarkStart w:id="169" w:name="Tc_qe7Q6AigkkyYpgqxJ68MXw_20_11"/>
      <w:bookmarkStart w:id="170" w:name="Tc_LPnkmJoihE-crhdfiWqyWQ_20_8"/>
      <w:bookmarkStart w:id="171" w:name="Tc_VoFkkjSBzE-z-RRNgp2llw_20_5"/>
      <w:bookmarkStart w:id="172" w:name="Tc_x3l_ig6r3ECHaMUXmulgHA_20_2"/>
      <w:bookmarkStart w:id="173" w:name="Tc_6gx_uJ3p9kKeGQPPMarVLg_20_0"/>
      <w:bookmarkStart w:id="174" w:name="Tc_QD7hFa2fPU-CCFS1Hd6Ipg_19_12"/>
      <w:bookmarkStart w:id="175" w:name="Tc_kW_qu2ioXEq5lQiwhAWXSg_19_6"/>
      <w:bookmarkStart w:id="176" w:name="Tc_Kb7WMQnqe0Sxidcg6Ozemg_19_0"/>
      <w:bookmarkStart w:id="177" w:name="Tc_3GsE1e76yU6mzl0r0UWLwA_18_5"/>
      <w:bookmarkStart w:id="178" w:name="Tc_n-Nmx8n1PEaf8b_YwGRGrA_18_2"/>
      <w:bookmarkStart w:id="179" w:name="Tc_Aj1xYeGqQE-AvnuUrKWLmw_18_0"/>
      <w:bookmarkStart w:id="180" w:name="Tc__Vqh0QdJi0ude_dk3_mvKw_17_0"/>
      <w:bookmarkStart w:id="181" w:name="Tc_UE20Szw9bUi1oCssNAQS0g_16_12"/>
      <w:bookmarkStart w:id="182" w:name="Tc_TmtrL2kKS0ux1BcAKaUaRw_16_6"/>
      <w:bookmarkStart w:id="183" w:name="Tc_jimQQDIG2UqWHNy_yMSqdw_16_0"/>
      <w:bookmarkStart w:id="184" w:name="Tc_LvuUx0T2uUK20pSlAO4voA_15_12"/>
      <w:bookmarkStart w:id="185" w:name="Tc_1U8A-RZ-3kuUeTThrOO9bg_15_6"/>
      <w:bookmarkStart w:id="186" w:name="Tc_ShtW1Rec_Ey0ZSzLizQYxA_15_0"/>
      <w:bookmarkStart w:id="187" w:name="Tc_W9pt61mVTUanq_Ivhg2CXw_14_0"/>
      <w:bookmarkStart w:id="188" w:name="Tc_5riSOIBY7U-l8aLj6DbYFg_13_0"/>
      <w:bookmarkStart w:id="189" w:name="Tc_F-8TfSccK0SIyia8BZq_Og_12_0"/>
      <w:bookmarkStart w:id="190" w:name="Tc_1yKg2RHtd0iew5ZBKy4WwQ_11_0"/>
      <w:bookmarkStart w:id="191" w:name="Tc_bCSNGxPM3EOFVRPzcl_ZSA_10_0"/>
      <w:bookmarkStart w:id="192" w:name="Tc_wd3z-_24N0u0OLBH87xsYA_9_0"/>
      <w:bookmarkStart w:id="193" w:name="Tc_1BM3E0MOREaZCs2xVkSPIA_8_0"/>
      <w:bookmarkStart w:id="194" w:name="Tc_9PSeQP4xAkGpEZqy9eSqAA_7_0"/>
      <w:bookmarkStart w:id="195" w:name="Tc_SFb2EjVxCUigiEboHBiW6g_6_0"/>
      <w:bookmarkStart w:id="196" w:name="Tc_qWv8NwPB1UCDGsSmexemiQ_5_0"/>
      <w:bookmarkStart w:id="197" w:name="Tc_7R_gTn_t4E2pWkibS_ijEA_4_11"/>
      <w:bookmarkStart w:id="198" w:name="Tc__caxJjJJ0EyR_vnL7KyaKA_4_9"/>
      <w:bookmarkStart w:id="199" w:name="Tc_Sn1_SjQ9c0ytu6IScb4G0w_4_8"/>
      <w:bookmarkStart w:id="200" w:name="Tc_AnbbHwRNtkGmO9GOq9NEcA_4_5"/>
      <w:bookmarkStart w:id="201" w:name="Tc_5IPOGpS0bUOgd44GqR_Khw_4_3"/>
      <w:bookmarkStart w:id="202" w:name="Tc_cW868MEEFUOj1rdhbS3XFg_4_2"/>
      <w:bookmarkStart w:id="203" w:name="Tc_sMsUJTvA5k6eNY4CF16xPA_4_0"/>
      <w:bookmarkStart w:id="204" w:name="Tc_v5YpcSeY4UqbqXkzF-Q65A_3_0"/>
      <w:bookmarkStart w:id="205" w:name="Tc_wconIRVK2Eq4XCO1vUsCQQ_2_11"/>
      <w:bookmarkStart w:id="206" w:name="Tc_n9yZdoATXEWK2DKVUdd-1w_2_8"/>
      <w:bookmarkStart w:id="207" w:name="Tc_U6ieWm6PX0euVYlQTo0ivQ_2_5"/>
      <w:bookmarkStart w:id="208" w:name="Tc_NulFv1zSG0SGMSsn5n6ntA_2_2"/>
      <w:bookmarkStart w:id="209" w:name="Tc_l-cM5H8YLUCeFLDcPCRDIA_1_8"/>
      <w:bookmarkStart w:id="210" w:name="Tc_H4-yX71Ha0CUFl0fAr1uRA_1_2"/>
      <w:bookmarkStart w:id="211" w:name="_8abac206_a716_45fb_a309_ed02daa72a07"/>
      <w:bookmarkStart w:id="212" w:name="_5119671c_5ada_49e4_920a_ed6e223b1d34"/>
      <w:bookmarkStart w:id="213" w:name="Tc_MUf_YWARmE2VyYpHvyOcrA_28_11"/>
      <w:bookmarkStart w:id="214" w:name="Tc_Zmn2drU5l0Wn1ea03Cb2-w_28_8"/>
      <w:bookmarkStart w:id="215" w:name="Tc_nC-VDPnax0yJ_UQPXwKHaA_28_5"/>
      <w:bookmarkStart w:id="216" w:name="Tc_TAaN9E8ZREW47xMKeLSqaw_28_2"/>
      <w:bookmarkStart w:id="217" w:name="Tc_o7Q7Tbj0BEOiMluPS3OT_Q_28_0"/>
      <w:bookmarkStart w:id="218" w:name="Tc_6m-r17MaF0OG-EljOw_pLg_27_0"/>
      <w:bookmarkStart w:id="219" w:name="Tc_7DCATMSmEUmr1jnVGAhFoQ_26_11"/>
      <w:bookmarkStart w:id="220" w:name="Tc_nDJSNyd87kmLl21Tp7tyJg_26_8"/>
      <w:bookmarkStart w:id="221" w:name="Tc_OaEOFUorP0KhGrSpoQhOLQ_26_5"/>
      <w:bookmarkStart w:id="222" w:name="Tc_dk_xIWI9ZkuTsPG_S1dAVg_26_2"/>
      <w:bookmarkStart w:id="223" w:name="Tc_yv79SQu6wEWGZ5cyA246vg_26_0"/>
      <w:bookmarkStart w:id="224" w:name="Tc_8DFjxbVrQ0K_Tm_L9NHCOw_25_0"/>
      <w:bookmarkStart w:id="225" w:name="Tc_pjGmSJtr0k-9mDIsuXGvYw_24_0"/>
      <w:bookmarkStart w:id="226" w:name="Tc_rV-aKsiBGU-47JFnNPzpSQ_23_11"/>
      <w:bookmarkStart w:id="227" w:name="Tc_RqI4SS1p7EujEKVL_24jkA_23_8"/>
      <w:bookmarkStart w:id="228" w:name="Tc_O2K8BWfCEUi8NqLg7GMgww_23_5"/>
      <w:bookmarkStart w:id="229" w:name="Tc_DYdZp0rWf0yByVk2JmojPA_23_2"/>
      <w:bookmarkStart w:id="230" w:name="Tc_drxki7CXEEOJSfIIn2XwYQ_23_0"/>
      <w:bookmarkStart w:id="231" w:name="Tc_PYNw7xZwPUmTmFg3LKqWRQ_22_0"/>
      <w:bookmarkStart w:id="232" w:name="Tc_qe7Q6AigkkyYpgqxJ68MXw_20_11"/>
      <w:bookmarkStart w:id="233" w:name="Tc_LPnkmJoihE-crhdfiWqyWQ_20_8"/>
      <w:bookmarkStart w:id="234" w:name="Tc_VoFkkjSBzE-z-RRNgp2llw_20_5"/>
      <w:bookmarkStart w:id="235" w:name="Tc_x3l_ig6r3ECHaMUXmulgHA_20_2"/>
      <w:bookmarkStart w:id="236" w:name="Tc_6gx_uJ3p9kKeGQPPMarVLg_20_0"/>
      <w:bookmarkStart w:id="237" w:name="Tc_QD7hFa2fPU-CCFS1Hd6Ipg_19_12"/>
      <w:bookmarkStart w:id="238" w:name="Tc_kW_qu2ioXEq5lQiwhAWXSg_19_6"/>
      <w:bookmarkStart w:id="239" w:name="Tc_Kb7WMQnqe0Sxidcg6Ozemg_19_0"/>
      <w:bookmarkStart w:id="240" w:name="Tc_3GsE1e76yU6mzl0r0UWLwA_18_5"/>
      <w:bookmarkStart w:id="241" w:name="Tc_n-Nmx8n1PEaf8b_YwGRGrA_18_2"/>
      <w:bookmarkStart w:id="242" w:name="Tc_Aj1xYeGqQE-AvnuUrKWLmw_18_0"/>
      <w:bookmarkStart w:id="243" w:name="Tc__Vqh0QdJi0ude_dk3_mvKw_17_0"/>
      <w:bookmarkStart w:id="244" w:name="Tc_UE20Szw9bUi1oCssNAQS0g_16_12"/>
      <w:bookmarkStart w:id="245" w:name="Tc_TmtrL2kKS0ux1BcAKaUaRw_16_6"/>
      <w:bookmarkStart w:id="246" w:name="Tc_jimQQDIG2UqWHNy_yMSqdw_16_0"/>
      <w:bookmarkStart w:id="247" w:name="Tc_LvuUx0T2uUK20pSlAO4voA_15_12"/>
      <w:bookmarkStart w:id="248" w:name="Tc_1U8A-RZ-3kuUeTThrOO9bg_15_6"/>
      <w:bookmarkStart w:id="249" w:name="Tc_ShtW1Rec_Ey0ZSzLizQYxA_15_0"/>
      <w:bookmarkStart w:id="250" w:name="Tc_W9pt61mVTUanq_Ivhg2CXw_14_0"/>
      <w:bookmarkStart w:id="251" w:name="Tc_5riSOIBY7U-l8aLj6DbYFg_13_0"/>
      <w:bookmarkStart w:id="252" w:name="Tc_F-8TfSccK0SIyia8BZq_Og_12_0"/>
      <w:bookmarkStart w:id="253" w:name="Tc_1yKg2RHtd0iew5ZBKy4WwQ_11_0"/>
      <w:bookmarkStart w:id="254" w:name="Tc_bCSNGxPM3EOFVRPzcl_ZSA_10_0"/>
      <w:bookmarkStart w:id="255" w:name="Tc_wd3z-_24N0u0OLBH87xsYA_9_0"/>
      <w:bookmarkStart w:id="256" w:name="Tc_1BM3E0MOREaZCs2xVkSPIA_8_0"/>
      <w:bookmarkStart w:id="257" w:name="Tc_9PSeQP4xAkGpEZqy9eSqAA_7_0"/>
      <w:bookmarkStart w:id="258" w:name="Tc_SFb2EjVxCUigiEboHBiW6g_6_0"/>
      <w:bookmarkStart w:id="259" w:name="Tc_qWv8NwPB1UCDGsSmexemiQ_5_0"/>
      <w:bookmarkStart w:id="260" w:name="Tc_7R_gTn_t4E2pWkibS_ijEA_4_11"/>
      <w:bookmarkStart w:id="261" w:name="Tc__caxJjJJ0EyR_vnL7KyaKA_4_9"/>
      <w:bookmarkStart w:id="262" w:name="Tc_Sn1_SjQ9c0ytu6IScb4G0w_4_8"/>
      <w:bookmarkStart w:id="263" w:name="Tc_AnbbHwRNtkGmO9GOq9NEcA_4_5"/>
      <w:bookmarkStart w:id="264" w:name="Tc_5IPOGpS0bUOgd44GqR_Khw_4_3"/>
      <w:bookmarkStart w:id="265" w:name="Tc_cW868MEEFUOj1rdhbS3XFg_4_2"/>
      <w:bookmarkStart w:id="266" w:name="Tc_sMsUJTvA5k6eNY4CF16xPA_4_0"/>
      <w:bookmarkStart w:id="267" w:name="Tc_v5YpcSeY4UqbqXkzF-Q65A_3_0"/>
      <w:bookmarkStart w:id="268" w:name="Tc_wconIRVK2Eq4XCO1vUsCQQ_2_11"/>
      <w:bookmarkStart w:id="269" w:name="Tc_n9yZdoATXEWK2DKVUdd-1w_2_8"/>
      <w:bookmarkStart w:id="270" w:name="Tc_U6ieWm6PX0euVYlQTo0ivQ_2_5"/>
      <w:bookmarkStart w:id="271" w:name="Tc_NulFv1zSG0SGMSsn5n6ntA_2_2"/>
      <w:bookmarkStart w:id="272" w:name="Tc_l-cM5H8YLUCeFLDcPCRDIA_1_8"/>
      <w:bookmarkStart w:id="273" w:name="Tc_H4-yX71Ha0CUFl0fAr1uRA_1_2"/>
      <w:bookmarkStart w:id="274" w:name="_8abac206_a716_45fb_a309_ed02daa72a07"/>
      <w:bookmarkStart w:id="275" w:name="_5119671c_5ada_49e4_920a_ed6e223b1d34"/>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tbl>
      <w:tblPr>
        <w:tblW w:w="10205" w:type="dxa"/>
        <w:jc w:val="left"/>
        <w:tblInd w:w="0" w:type="dxa"/>
        <w:tblLayout w:type="fixed"/>
        <w:tblCellMar>
          <w:top w:w="0" w:type="dxa"/>
          <w:left w:w="0" w:type="dxa"/>
          <w:bottom w:w="0" w:type="dxa"/>
          <w:right w:w="0" w:type="dxa"/>
        </w:tblCellMar>
      </w:tblPr>
      <w:tblGrid>
        <w:gridCol w:w="4698"/>
        <w:gridCol w:w="346"/>
        <w:gridCol w:w="211"/>
        <w:gridCol w:w="916"/>
        <w:gridCol w:w="146"/>
        <w:gridCol w:w="211"/>
        <w:gridCol w:w="916"/>
        <w:gridCol w:w="346"/>
        <w:gridCol w:w="196"/>
        <w:gridCol w:w="916"/>
        <w:gridCol w:w="146"/>
        <w:gridCol w:w="196"/>
        <w:gridCol w:w="961"/>
      </w:tblGrid>
      <w:tr>
        <w:trPr/>
        <w:tc>
          <w:tcPr>
            <w:tcW w:w="4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983230" cy="175260"/>
                      <wp:effectExtent l="0" t="0" r="0" b="0"/>
                      <wp:wrapNone/>
                      <wp:docPr id="9" name="Frame8"/>
                      <a:graphic xmlns:a="http://schemas.openxmlformats.org/drawingml/2006/main">
                        <a:graphicData uri="http://schemas.microsoft.com/office/word/2010/wordprocessingShape">
                          <wps:wsp>
                            <wps:cNvSpPr txBox="1"/>
                            <wps:spPr>
                              <a:xfrm>
                                <a:off x="0" y="0"/>
                                <a:ext cx="2983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81660" cy="175260"/>
                      <wp:effectExtent l="0" t="0" r="0" b="0"/>
                      <wp:wrapNone/>
                      <wp:docPr id="12" name="Frame1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2710" cy="175260"/>
                      <wp:effectExtent l="0" t="0" r="0" b="0"/>
                      <wp:wrapNone/>
                      <wp:docPr id="13" name="Frame1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81660" cy="175260"/>
                      <wp:effectExtent l="0" t="0" r="0" b="0"/>
                      <wp:wrapNone/>
                      <wp:docPr id="15" name="Frame1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4460" cy="175260"/>
                      <wp:effectExtent l="0" t="0" r="0" b="0"/>
                      <wp:wrapNone/>
                      <wp:docPr id="17" name="Frame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81660" cy="175260"/>
                      <wp:effectExtent l="0" t="0" r="0" b="0"/>
                      <wp:wrapNone/>
                      <wp:docPr id="18" name="Frame1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92710" cy="175260"/>
                      <wp:effectExtent l="0" t="0" r="0" b="0"/>
                      <wp:wrapNone/>
                      <wp:docPr id="19" name="Frame1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460" cy="175260"/>
                      <wp:effectExtent l="0" t="0" r="0" b="0"/>
                      <wp:wrapNone/>
                      <wp:docPr id="20" name="Frame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10235" cy="175260"/>
                      <wp:effectExtent l="0" t="0" r="0" b="0"/>
                      <wp:wrapNone/>
                      <wp:docPr id="21" name="Frame2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9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4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  ​ ​ ​</w:t>
            </w:r>
          </w:p>
        </w:tc>
        <w:tc>
          <w:tcPr>
            <w:tcW w:w="24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69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1"/>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1"/>
              <w:ind w:left="0" w:right="0" w:hanging="0"/>
              <w:jc w:val="left"/>
              <w:rPr/>
            </w:pPr>
            <w:r>
              <w:rPr/>
              <w:t>​</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  ​</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Partnership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1,399</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305</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1,704</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  ​</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revenues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16,590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13,853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32,371</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27,335</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5,829</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6,264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12,202</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12,527</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22,444</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20,163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44,630</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39,952</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(22,356)</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(19,327)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(44,432)</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(38,248)</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(expense)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  ​</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income,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(1,768)</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(2,589)</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the fair value of derivative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324</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sale of strategic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2,286</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(1,399)</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(23,755)</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(19,363)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(44,446)</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(38,118)</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 to carrying value of Series A Preferred Stock</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(324)</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attributable to common stockholders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(24,079)</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(19,363)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(44,735)</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(38,118)</w:t>
            </w:r>
          </w:p>
        </w:tc>
      </w:tr>
      <w:tr>
        <w:trPr/>
        <w:tc>
          <w:tcPr>
            <w:tcW w:w="469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attributable to common stockholders per share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  ​</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(0.38)</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(0.72)</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(0.99)</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used in computing net loss attributable to common stockholders per share, 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63,812,098</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38,392,716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62,019,963</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38,314,936</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(23,755)</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(19,363)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(44,446)</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(38,118)</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(23,796)</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(19,384)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(44,587)</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(38,154)</w:t>
            </w:r>
          </w:p>
        </w:tc>
      </w:tr>
    </w:tbl>
    <w:p>
      <w:pPr>
        <w:pStyle w:val="TextBody"/>
        <w:bidi w:val="0"/>
        <w:spacing w:before="0" w:after="240"/>
        <w:ind w:left="0" w:right="0" w:firstLine="36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142" w:before="0" w:after="240"/>
        <w:ind w:left="0" w:right="0" w:firstLine="360"/>
        <w:jc w:val="center"/>
        <w:rPr/>
      </w:pPr>
      <w:r>
        <w:rPr/>
        <w:t>​</w:t>
      </w:r>
    </w:p>
    <w:p>
      <w:pPr>
        <w:pStyle w:val="TextBody"/>
        <w:bidi w:val="0"/>
        <w:spacing w:lineRule="atLeast" w:line="142" w:before="0" w:after="240"/>
        <w:ind w:left="0" w:right="0" w:firstLine="360"/>
        <w:jc w:val="center"/>
        <w:rPr/>
      </w:pPr>
      <w:r>
        <w:rPr/>
        <w:t>​</w:t>
      </w:r>
    </w:p>
    <w:p>
      <w:pPr>
        <w:pStyle w:val="TextBody"/>
        <w:bidi w:val="0"/>
        <w:spacing w:lineRule="atLeast" w:line="142" w:before="0" w:after="240"/>
        <w:ind w:left="0" w:right="0" w:hanging="0"/>
        <w:jc w:val="center"/>
        <w:rPr/>
      </w:pPr>
      <w:bookmarkStart w:id="276" w:name="_64cb9709_b168_4e2d_90e3_0f2bd8c63ec6"/>
      <w:bookmarkEnd w:id="276"/>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ORCHESTRA BIOMED HOLDINGS, INC.</w:t>
      </w:r>
    </w:p>
    <w:p>
      <w:pPr>
        <w:pStyle w:val="TextBody"/>
        <w:bidi w:val="0"/>
        <w:spacing w:before="0" w:after="0"/>
        <w:ind w:left="0" w:right="0" w:hanging="0"/>
        <w:jc w:val="center"/>
        <w:rPr>
          <w:rFonts w:ascii="Times New Roman;Times;serif" w:hAnsi="Times New Roman;Times;serif"/>
          <w:b/>
          <w:sz w:val="20"/>
        </w:rPr>
      </w:pPr>
      <w:bookmarkStart w:id="277" w:name="CondensedConsolidatedStatementsofStockho"/>
      <w:bookmarkEnd w:id="277"/>
      <w:r>
        <w:rPr>
          <w:rFonts w:ascii="Times New Roman;Times;serif" w:hAnsi="Times New Roman;Times;serif"/>
          <w:b/>
          <w:sz w:val="20"/>
        </w:rPr>
        <w:t xml:space="preserve">Condensed Consolidated Statements of Stockholders’ Equity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Normal"/>
        <w:bidi w:val="0"/>
        <w:spacing w:before="0" w:after="0"/>
        <w:jc w:val="left"/>
        <w:rPr>
          <w:sz w:val="4"/>
          <w:szCs w:val="4"/>
        </w:rPr>
      </w:pPr>
      <w:r>
        <w:rPr>
          <w:sz w:val="4"/>
          <w:szCs w:val="4"/>
        </w:rPr>
      </w:r>
      <w:bookmarkStart w:id="278" w:name="Tc_2xfXzw0cO0yW74Mn7AJxMw_21_16"/>
      <w:bookmarkStart w:id="279" w:name="Tc_6oA3a2oNaUmPFlM9y0W9Xg_21_13"/>
      <w:bookmarkStart w:id="280" w:name="Tc_xrS2pBPLeEG0RQYoIzmudg_21_10"/>
      <w:bookmarkStart w:id="281" w:name="Tc_2n-0trzBqkGJ3WFbRaECEQ_21_7"/>
      <w:bookmarkStart w:id="282" w:name="Tc_LMuHLk3u-0mkwAr3reWRpA_21_4"/>
      <w:bookmarkStart w:id="283" w:name="Tc_LTbdp28AWU2FZ6By4oLIvA_21_0"/>
      <w:bookmarkStart w:id="284" w:name="Tc_w-V1wbK430ydXPpa1LwhYA_20_11"/>
      <w:bookmarkStart w:id="285" w:name="Tc_hvU2lWO5nEaCKGNtZxdT6A_20_8"/>
      <w:bookmarkStart w:id="286" w:name="Tc_wHFfnAgKLUeymTJ3CiS7aA_20_5"/>
      <w:bookmarkStart w:id="287" w:name="Tc_wq11R2zfeEm8cQKYb97qQg_20_2"/>
      <w:bookmarkStart w:id="288" w:name="Tc_glKNZbOwz0uclEc8GiEacQ_20_0"/>
      <w:bookmarkStart w:id="289" w:name="Tc_jXkbW1ZXLk-k58j3m8YpYA_19_14"/>
      <w:bookmarkStart w:id="290" w:name="Tc_paSD1-bnCUOo9XsusVN4_Q_19_11"/>
      <w:bookmarkStart w:id="291" w:name="Tc_GMDEYF83PkaDwef6BRo6Aw_19_5"/>
      <w:bookmarkStart w:id="292" w:name="Tc_eF_ZWXZfe0GTTzzuyN5nwA_19_2"/>
      <w:bookmarkStart w:id="293" w:name="Tc_oAthdbss50GQpSLWuRCuXg_19_0"/>
      <w:bookmarkStart w:id="294" w:name="Tc_WRWBeyogl0G6dqRjtWXfOw_18_17"/>
      <w:bookmarkStart w:id="295" w:name="Tc_0z4HHlqXJEiGEU1yxr6T7w_18_14"/>
      <w:bookmarkStart w:id="296" w:name="Tc_hrBHnYYwo0qhLBPQH2nr9w_18_11"/>
      <w:bookmarkStart w:id="297" w:name="Tc_4742bZoey0aDtMHKwsPJFg_18_8"/>
      <w:bookmarkStart w:id="298" w:name="Tc_7XtWuPZsnUa3bpMuro9G4Q_18_5"/>
      <w:bookmarkStart w:id="299" w:name="Tc__yaR_3gE30-QQJm1hNtRMQ_18_0"/>
      <w:bookmarkStart w:id="300" w:name="Tc_q7YkMyB9_kimTOZErMvD0g_17_14"/>
      <w:bookmarkStart w:id="301" w:name="Tc_s9o67PBxuUesHyevwU3hbQ_17_11"/>
      <w:bookmarkStart w:id="302" w:name="Tc_bJqwMKslt0uDbbGF_6wlQw_17_5"/>
      <w:bookmarkStart w:id="303" w:name="Tc_-im9TuVX0kKwywI9h24KAA_17_0"/>
      <w:bookmarkStart w:id="304" w:name="Tc_2cYGqM52Q0u8ANFWNaPC_Q_16_14"/>
      <w:bookmarkStart w:id="305" w:name="Tc_IsTWJy37xEu_24621QBYlw_16_11"/>
      <w:bookmarkStart w:id="306" w:name="Tc_LTqBrlxOckOHFApTUId1Tg_16_5"/>
      <w:bookmarkStart w:id="307" w:name="Tc_rVZTtfGTqUOtl5foJVje0w_16_0"/>
      <w:bookmarkStart w:id="308" w:name="Tc_ECNMyxaIXkuY5RLGzPnSFQ_15_14"/>
      <w:bookmarkStart w:id="309" w:name="Tc_Q9qrsVaSHECS0ERZWAPbjA_15_11"/>
      <w:bookmarkStart w:id="310" w:name="Tc_vVutRKmhAkW89EKWZrmnDA_15_5"/>
      <w:bookmarkStart w:id="311" w:name="Tc_APeRgUt58Uurh_6I3uynHA_15_2"/>
      <w:bookmarkStart w:id="312" w:name="Tc_Jk7I5AJnZUGNuHcj8tpYxw_15_0"/>
      <w:bookmarkStart w:id="313" w:name="Tc_YL43TebDR0Kb93p_jxYl-g_14_14"/>
      <w:bookmarkStart w:id="314" w:name="Tc_HpaSUKoTfEyNJVsSiOK_OQ_14_8"/>
      <w:bookmarkStart w:id="315" w:name="Tc_NVNkRx5vw067EsfzZgB52g_14_5"/>
      <w:bookmarkStart w:id="316" w:name="Tc_oXF-y058ZE6Qbj5_QvNe2g_14_2"/>
      <w:bookmarkStart w:id="317" w:name="Tc_iz78ClZ1GE6VcWLiHG33Iw_14_0"/>
      <w:bookmarkStart w:id="318" w:name="Tc_zBun-1jukECyUom4hUj2_Q_13_16"/>
      <w:bookmarkStart w:id="319" w:name="Tc_kaG8qL4y0k-Z1I3F0CQ2QA_13_13"/>
      <w:bookmarkStart w:id="320" w:name="Tc_oMnT1znLe0m-pF2cRo4eEw_13_10"/>
      <w:bookmarkStart w:id="321" w:name="Tc_38Iu7mcJSEeqq00A0wpmaw_13_7"/>
      <w:bookmarkStart w:id="322" w:name="Tc_5u2lcQ4ISEW2c-U0BJWfZw_13_4"/>
      <w:bookmarkStart w:id="323" w:name="Tc_AgwiHK_eoEyNNt6Ac70bsg_13_0"/>
      <w:bookmarkStart w:id="324" w:name="Tc_W3Ez49rVg0WqW_Kerp85lA_12_11"/>
      <w:bookmarkStart w:id="325" w:name="Tc_2mCmJLIRdkyMtJywq5UNNA_12_8"/>
      <w:bookmarkStart w:id="326" w:name="Tc_NJRUOo4Y7EeNPRAhrblxPw_12_5"/>
      <w:bookmarkStart w:id="327" w:name="Tc_K27TKVOw0UuPFeH2uqCZvQ_12_2"/>
      <w:bookmarkStart w:id="328" w:name="Tc_dvcezobmX0WvuBa9R14sTg_12_0"/>
      <w:bookmarkStart w:id="329" w:name="Tc__LZcjH8GRkmAOdi0ycLn5Q_11_14"/>
      <w:bookmarkStart w:id="330" w:name="Tc_kvmmfyEt7kiby5ViGTJnaw_11_11"/>
      <w:bookmarkStart w:id="331" w:name="Tc_sLtzPSiNGEek4zqTTf_TEw_11_5"/>
      <w:bookmarkStart w:id="332" w:name="Tc_A1Cus88wDUGP7ANggscYEg_11_2"/>
      <w:bookmarkStart w:id="333" w:name="Tc_-HzSsCiz20G5LPN4S4P2KQ_11_0"/>
      <w:bookmarkStart w:id="334" w:name="Tc_OKckFh3LK0K1kOkoeI9arQ_10_14"/>
      <w:bookmarkStart w:id="335" w:name="Tc_H-MFR4UPtEuh2m1VZJ4cUw_10_11"/>
      <w:bookmarkStart w:id="336" w:name="Tc_mzlsumc4pkOwANj4rJJq3Q_10_5"/>
      <w:bookmarkStart w:id="337" w:name="Tc_ud5kA6hXvkuH6P8TAKHqdw_10_0"/>
      <w:bookmarkStart w:id="338" w:name="Tc_Hlo7oZTZoEK9STM4GD6E6A_9_14"/>
      <w:bookmarkStart w:id="339" w:name="Tc_icYfVhc4CUaanWGPD2KN1w_9_11"/>
      <w:bookmarkStart w:id="340" w:name="Tc_SIydaon0G0uu5bf1GV4D3g_9_5"/>
      <w:bookmarkStart w:id="341" w:name="Tc_CeupfugtU0GszBz_iDGAWA_9_0"/>
      <w:bookmarkStart w:id="342" w:name="Tc_D03HESxxgUa-mVAoMAk7cA_8_14"/>
      <w:bookmarkStart w:id="343" w:name="Tc_0Hl7-JNDMkG0i81i8EipwQ_8_11"/>
      <w:bookmarkStart w:id="344" w:name="Tc_zH3twAlonkK-C-BGGo5Qqw_8_5"/>
      <w:bookmarkStart w:id="345" w:name="Tc_9xOMP1lIdEGGXixDwuMCIg_8_2"/>
      <w:bookmarkStart w:id="346" w:name="Tc_G1OwZk7K9kigXOyecwMokg_8_0"/>
      <w:bookmarkStart w:id="347" w:name="Tc_sbFYU5g3tEm42Pt6laZhhg_7_14"/>
      <w:bookmarkStart w:id="348" w:name="Tc_5VIZ830P3UyECEp1VtuQ9Q_7_8"/>
      <w:bookmarkStart w:id="349" w:name="Tc_7Ww8_cTA0Em8nwJQ8TpmiA_7_5"/>
      <w:bookmarkStart w:id="350" w:name="Tc_Xh4aF2MgKU2beH58WJa75g_7_2"/>
      <w:bookmarkStart w:id="351" w:name="Tc_9rll2Gn85kSccEbO0Rnsew_7_0"/>
      <w:bookmarkStart w:id="352" w:name="Tc_WNZsK6ihzEWM8VzfKF957A_6_14"/>
      <w:bookmarkStart w:id="353" w:name="Tc_HOhFO90kE0S-8ITx5Z1WjQ_6_11"/>
      <w:bookmarkStart w:id="354" w:name="Tc_kthd_PJ0102fISXwl_JAXQ_6_5"/>
      <w:bookmarkStart w:id="355" w:name="Tc_ylZMBBhE50-iUE4pNNf_2A_6_0"/>
      <w:bookmarkStart w:id="356" w:name="Tc_KvW_eCFu5k-cOs2efAua1g_5_16"/>
      <w:bookmarkStart w:id="357" w:name="Tc_llypBRHNZ0e3QMqFYsX2YA_5_13"/>
      <w:bookmarkStart w:id="358" w:name="Tc_b7A_ZiOKjkiicccSSO57jw_5_10"/>
      <w:bookmarkStart w:id="359" w:name="Tc_5lxTNMAY9067jzJDNLfKlQ_5_7"/>
      <w:bookmarkStart w:id="360" w:name="Tc_7IyO7BBSo0iEYJTxJnVtVg_5_4"/>
      <w:bookmarkStart w:id="361" w:name="Tc_CpPRIuRjzE-M-f83aic5jA_5_0"/>
      <w:bookmarkStart w:id="362" w:name="Tc_vGJ97ETtvU-Zqiz9yuKX_Q_4_16"/>
      <w:bookmarkStart w:id="363" w:name="Tc_N79ACJcOqku3dvvPZ_IA_A_4_13"/>
      <w:bookmarkStart w:id="364" w:name="Tc_t-dIH_4JoEGGuKQY0A46MQ_4_10"/>
      <w:bookmarkStart w:id="365" w:name="Tc_BYfL3WdbYkiihUNLC-CdGg_4_7"/>
      <w:bookmarkStart w:id="366" w:name="Tc_tfn8MA_hjUG3Y945IQZflw_4_4"/>
      <w:bookmarkStart w:id="367" w:name="Tc_Y0VjBY-kYUWdgdGo-R3bSg_4_2"/>
      <w:bookmarkStart w:id="368" w:name="Tc_lnJQegJ9aUOFStGL2jtEsw_3_16"/>
      <w:bookmarkStart w:id="369" w:name="Tc_ZEC-KSl4TU-A7-5qkOK76g_3_13"/>
      <w:bookmarkStart w:id="370" w:name="Tc_J_6T3G1U5Ei6EfurZX1lfQ_3_10"/>
      <w:bookmarkStart w:id="371" w:name="Tc_v4zMGYlBLkaGDPpBr39Jaw_3_7"/>
      <w:bookmarkStart w:id="372" w:name="Tc_6kXF1IHFHUO1g8UiPaUfiQ_3_2"/>
      <w:bookmarkStart w:id="373" w:name="Tc_Aq-M_vKSbkaN0NnkZpOUkA_2_16"/>
      <w:bookmarkStart w:id="374" w:name="Tc_DZqfCTBkjUuzr8t_FGXu1A_2_10"/>
      <w:bookmarkStart w:id="375" w:name="Tc_s2Rwh1XgpUKmv_0ugKspUw_2_7"/>
      <w:bookmarkStart w:id="376" w:name="Tc_KkPDvZO_P0OHCXk-c4sWkw_1_10"/>
      <w:bookmarkStart w:id="377" w:name="_40f91a03_e757_46ee_a0aa_9463b8064b81"/>
      <w:bookmarkStart w:id="378" w:name="Tc_2xfXzw0cO0yW74Mn7AJxMw_21_16"/>
      <w:bookmarkStart w:id="379" w:name="Tc_6oA3a2oNaUmPFlM9y0W9Xg_21_13"/>
      <w:bookmarkStart w:id="380" w:name="Tc_xrS2pBPLeEG0RQYoIzmudg_21_10"/>
      <w:bookmarkStart w:id="381" w:name="Tc_2n-0trzBqkGJ3WFbRaECEQ_21_7"/>
      <w:bookmarkStart w:id="382" w:name="Tc_LMuHLk3u-0mkwAr3reWRpA_21_4"/>
      <w:bookmarkStart w:id="383" w:name="Tc_LTbdp28AWU2FZ6By4oLIvA_21_0"/>
      <w:bookmarkStart w:id="384" w:name="Tc_w-V1wbK430ydXPpa1LwhYA_20_11"/>
      <w:bookmarkStart w:id="385" w:name="Tc_hvU2lWO5nEaCKGNtZxdT6A_20_8"/>
      <w:bookmarkStart w:id="386" w:name="Tc_wHFfnAgKLUeymTJ3CiS7aA_20_5"/>
      <w:bookmarkStart w:id="387" w:name="Tc_wq11R2zfeEm8cQKYb97qQg_20_2"/>
      <w:bookmarkStart w:id="388" w:name="Tc_glKNZbOwz0uclEc8GiEacQ_20_0"/>
      <w:bookmarkStart w:id="389" w:name="Tc_jXkbW1ZXLk-k58j3m8YpYA_19_14"/>
      <w:bookmarkStart w:id="390" w:name="Tc_paSD1-bnCUOo9XsusVN4_Q_19_11"/>
      <w:bookmarkStart w:id="391" w:name="Tc_GMDEYF83PkaDwef6BRo6Aw_19_5"/>
      <w:bookmarkStart w:id="392" w:name="Tc_eF_ZWXZfe0GTTzzuyN5nwA_19_2"/>
      <w:bookmarkStart w:id="393" w:name="Tc_oAthdbss50GQpSLWuRCuXg_19_0"/>
      <w:bookmarkStart w:id="394" w:name="Tc_WRWBeyogl0G6dqRjtWXfOw_18_17"/>
      <w:bookmarkStart w:id="395" w:name="Tc_0z4HHlqXJEiGEU1yxr6T7w_18_14"/>
      <w:bookmarkStart w:id="396" w:name="Tc_hrBHnYYwo0qhLBPQH2nr9w_18_11"/>
      <w:bookmarkStart w:id="397" w:name="Tc_4742bZoey0aDtMHKwsPJFg_18_8"/>
      <w:bookmarkStart w:id="398" w:name="Tc_7XtWuPZsnUa3bpMuro9G4Q_18_5"/>
      <w:bookmarkStart w:id="399" w:name="Tc__yaR_3gE30-QQJm1hNtRMQ_18_0"/>
      <w:bookmarkStart w:id="400" w:name="Tc_q7YkMyB9_kimTOZErMvD0g_17_14"/>
      <w:bookmarkStart w:id="401" w:name="Tc_s9o67PBxuUesHyevwU3hbQ_17_11"/>
      <w:bookmarkStart w:id="402" w:name="Tc_bJqwMKslt0uDbbGF_6wlQw_17_5"/>
      <w:bookmarkStart w:id="403" w:name="Tc_-im9TuVX0kKwywI9h24KAA_17_0"/>
      <w:bookmarkStart w:id="404" w:name="Tc_2cYGqM52Q0u8ANFWNaPC_Q_16_14"/>
      <w:bookmarkStart w:id="405" w:name="Tc_IsTWJy37xEu_24621QBYlw_16_11"/>
      <w:bookmarkStart w:id="406" w:name="Tc_LTqBrlxOckOHFApTUId1Tg_16_5"/>
      <w:bookmarkStart w:id="407" w:name="Tc_rVZTtfGTqUOtl5foJVje0w_16_0"/>
      <w:bookmarkStart w:id="408" w:name="Tc_ECNMyxaIXkuY5RLGzPnSFQ_15_14"/>
      <w:bookmarkStart w:id="409" w:name="Tc_Q9qrsVaSHECS0ERZWAPbjA_15_11"/>
      <w:bookmarkStart w:id="410" w:name="Tc_vVutRKmhAkW89EKWZrmnDA_15_5"/>
      <w:bookmarkStart w:id="411" w:name="Tc_APeRgUt58Uurh_6I3uynHA_15_2"/>
      <w:bookmarkStart w:id="412" w:name="Tc_Jk7I5AJnZUGNuHcj8tpYxw_15_0"/>
      <w:bookmarkStart w:id="413" w:name="Tc_YL43TebDR0Kb93p_jxYl-g_14_14"/>
      <w:bookmarkStart w:id="414" w:name="Tc_HpaSUKoTfEyNJVsSiOK_OQ_14_8"/>
      <w:bookmarkStart w:id="415" w:name="Tc_NVNkRx5vw067EsfzZgB52g_14_5"/>
      <w:bookmarkStart w:id="416" w:name="Tc_oXF-y058ZE6Qbj5_QvNe2g_14_2"/>
      <w:bookmarkStart w:id="417" w:name="Tc_iz78ClZ1GE6VcWLiHG33Iw_14_0"/>
      <w:bookmarkStart w:id="418" w:name="Tc_zBun-1jukECyUom4hUj2_Q_13_16"/>
      <w:bookmarkStart w:id="419" w:name="Tc_kaG8qL4y0k-Z1I3F0CQ2QA_13_13"/>
      <w:bookmarkStart w:id="420" w:name="Tc_oMnT1znLe0m-pF2cRo4eEw_13_10"/>
      <w:bookmarkStart w:id="421" w:name="Tc_38Iu7mcJSEeqq00A0wpmaw_13_7"/>
      <w:bookmarkStart w:id="422" w:name="Tc_5u2lcQ4ISEW2c-U0BJWfZw_13_4"/>
      <w:bookmarkStart w:id="423" w:name="Tc_AgwiHK_eoEyNNt6Ac70bsg_13_0"/>
      <w:bookmarkStart w:id="424" w:name="Tc_W3Ez49rVg0WqW_Kerp85lA_12_11"/>
      <w:bookmarkStart w:id="425" w:name="Tc_2mCmJLIRdkyMtJywq5UNNA_12_8"/>
      <w:bookmarkStart w:id="426" w:name="Tc_NJRUOo4Y7EeNPRAhrblxPw_12_5"/>
      <w:bookmarkStart w:id="427" w:name="Tc_K27TKVOw0UuPFeH2uqCZvQ_12_2"/>
      <w:bookmarkStart w:id="428" w:name="Tc_dvcezobmX0WvuBa9R14sTg_12_0"/>
      <w:bookmarkStart w:id="429" w:name="Tc__LZcjH8GRkmAOdi0ycLn5Q_11_14"/>
      <w:bookmarkStart w:id="430" w:name="Tc_kvmmfyEt7kiby5ViGTJnaw_11_11"/>
      <w:bookmarkStart w:id="431" w:name="Tc_sLtzPSiNGEek4zqTTf_TEw_11_5"/>
      <w:bookmarkStart w:id="432" w:name="Tc_A1Cus88wDUGP7ANggscYEg_11_2"/>
      <w:bookmarkStart w:id="433" w:name="Tc_-HzSsCiz20G5LPN4S4P2KQ_11_0"/>
      <w:bookmarkStart w:id="434" w:name="Tc_OKckFh3LK0K1kOkoeI9arQ_10_14"/>
      <w:bookmarkStart w:id="435" w:name="Tc_H-MFR4UPtEuh2m1VZJ4cUw_10_11"/>
      <w:bookmarkStart w:id="436" w:name="Tc_mzlsumc4pkOwANj4rJJq3Q_10_5"/>
      <w:bookmarkStart w:id="437" w:name="Tc_ud5kA6hXvkuH6P8TAKHqdw_10_0"/>
      <w:bookmarkStart w:id="438" w:name="Tc_Hlo7oZTZoEK9STM4GD6E6A_9_14"/>
      <w:bookmarkStart w:id="439" w:name="Tc_icYfVhc4CUaanWGPD2KN1w_9_11"/>
      <w:bookmarkStart w:id="440" w:name="Tc_SIydaon0G0uu5bf1GV4D3g_9_5"/>
      <w:bookmarkStart w:id="441" w:name="Tc_CeupfugtU0GszBz_iDGAWA_9_0"/>
      <w:bookmarkStart w:id="442" w:name="Tc_D03HESxxgUa-mVAoMAk7cA_8_14"/>
      <w:bookmarkStart w:id="443" w:name="Tc_0Hl7-JNDMkG0i81i8EipwQ_8_11"/>
      <w:bookmarkStart w:id="444" w:name="Tc_zH3twAlonkK-C-BGGo5Qqw_8_5"/>
      <w:bookmarkStart w:id="445" w:name="Tc_9xOMP1lIdEGGXixDwuMCIg_8_2"/>
      <w:bookmarkStart w:id="446" w:name="Tc_G1OwZk7K9kigXOyecwMokg_8_0"/>
      <w:bookmarkStart w:id="447" w:name="Tc_sbFYU5g3tEm42Pt6laZhhg_7_14"/>
      <w:bookmarkStart w:id="448" w:name="Tc_5VIZ830P3UyECEp1VtuQ9Q_7_8"/>
      <w:bookmarkStart w:id="449" w:name="Tc_7Ww8_cTA0Em8nwJQ8TpmiA_7_5"/>
      <w:bookmarkStart w:id="450" w:name="Tc_Xh4aF2MgKU2beH58WJa75g_7_2"/>
      <w:bookmarkStart w:id="451" w:name="Tc_9rll2Gn85kSccEbO0Rnsew_7_0"/>
      <w:bookmarkStart w:id="452" w:name="Tc_WNZsK6ihzEWM8VzfKF957A_6_14"/>
      <w:bookmarkStart w:id="453" w:name="Tc_HOhFO90kE0S-8ITx5Z1WjQ_6_11"/>
      <w:bookmarkStart w:id="454" w:name="Tc_kthd_PJ0102fISXwl_JAXQ_6_5"/>
      <w:bookmarkStart w:id="455" w:name="Tc_ylZMBBhE50-iUE4pNNf_2A_6_0"/>
      <w:bookmarkStart w:id="456" w:name="Tc_KvW_eCFu5k-cOs2efAua1g_5_16"/>
      <w:bookmarkStart w:id="457" w:name="Tc_llypBRHNZ0e3QMqFYsX2YA_5_13"/>
      <w:bookmarkStart w:id="458" w:name="Tc_b7A_ZiOKjkiicccSSO57jw_5_10"/>
      <w:bookmarkStart w:id="459" w:name="Tc_5lxTNMAY9067jzJDNLfKlQ_5_7"/>
      <w:bookmarkStart w:id="460" w:name="Tc_7IyO7BBSo0iEYJTxJnVtVg_5_4"/>
      <w:bookmarkStart w:id="461" w:name="Tc_CpPRIuRjzE-M-f83aic5jA_5_0"/>
      <w:bookmarkStart w:id="462" w:name="Tc_vGJ97ETtvU-Zqiz9yuKX_Q_4_16"/>
      <w:bookmarkStart w:id="463" w:name="Tc_N79ACJcOqku3dvvPZ_IA_A_4_13"/>
      <w:bookmarkStart w:id="464" w:name="Tc_t-dIH_4JoEGGuKQY0A46MQ_4_10"/>
      <w:bookmarkStart w:id="465" w:name="Tc_BYfL3WdbYkiihUNLC-CdGg_4_7"/>
      <w:bookmarkStart w:id="466" w:name="Tc_tfn8MA_hjUG3Y945IQZflw_4_4"/>
      <w:bookmarkStart w:id="467" w:name="Tc_Y0VjBY-kYUWdgdGo-R3bSg_4_2"/>
      <w:bookmarkStart w:id="468" w:name="Tc_lnJQegJ9aUOFStGL2jtEsw_3_16"/>
      <w:bookmarkStart w:id="469" w:name="Tc_ZEC-KSl4TU-A7-5qkOK76g_3_13"/>
      <w:bookmarkStart w:id="470" w:name="Tc_J_6T3G1U5Ei6EfurZX1lfQ_3_10"/>
      <w:bookmarkStart w:id="471" w:name="Tc_v4zMGYlBLkaGDPpBr39Jaw_3_7"/>
      <w:bookmarkStart w:id="472" w:name="Tc_6kXF1IHFHUO1g8UiPaUfiQ_3_2"/>
      <w:bookmarkStart w:id="473" w:name="Tc_Aq-M_vKSbkaN0NnkZpOUkA_2_16"/>
      <w:bookmarkStart w:id="474" w:name="Tc_DZqfCTBkjUuzr8t_FGXu1A_2_10"/>
      <w:bookmarkStart w:id="475" w:name="Tc_s2Rwh1XgpUKmv_0ugKspUw_2_7"/>
      <w:bookmarkStart w:id="476" w:name="Tc_KkPDvZO_P0OHCXk-c4sWkw_1_10"/>
      <w:bookmarkStart w:id="477" w:name="_40f91a03_e757_46ee_a0aa_9463b8064b81"/>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tbl>
      <w:tblPr>
        <w:tblW w:w="10205" w:type="dxa"/>
        <w:jc w:val="left"/>
        <w:tblInd w:w="0" w:type="dxa"/>
        <w:tblLayout w:type="fixed"/>
        <w:tblCellMar>
          <w:top w:w="0" w:type="dxa"/>
          <w:left w:w="0" w:type="dxa"/>
          <w:bottom w:w="0" w:type="dxa"/>
          <w:right w:w="0" w:type="dxa"/>
        </w:tblCellMar>
      </w:tblPr>
      <w:tblGrid>
        <w:gridCol w:w="3161"/>
        <w:gridCol w:w="346"/>
        <w:gridCol w:w="766"/>
        <w:gridCol w:w="346"/>
        <w:gridCol w:w="196"/>
        <w:gridCol w:w="375"/>
        <w:gridCol w:w="346"/>
        <w:gridCol w:w="181"/>
        <w:gridCol w:w="586"/>
        <w:gridCol w:w="346"/>
        <w:gridCol w:w="331"/>
        <w:gridCol w:w="690"/>
        <w:gridCol w:w="346"/>
        <w:gridCol w:w="194"/>
        <w:gridCol w:w="677"/>
        <w:gridCol w:w="346"/>
        <w:gridCol w:w="224"/>
        <w:gridCol w:w="748"/>
      </w:tblGrid>
      <w:tr>
        <w:trPr/>
        <w:tc>
          <w:tcPr>
            <w:tcW w:w="3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07235" cy="175260"/>
                      <wp:effectExtent l="0" t="0" r="0" b="0"/>
                      <wp:wrapNone/>
                      <wp:docPr id="22" name="Frame21"/>
                      <a:graphic xmlns:a="http://schemas.openxmlformats.org/drawingml/2006/main">
                        <a:graphicData uri="http://schemas.microsoft.com/office/word/2010/wordprocessingShape">
                          <wps:wsp>
                            <wps:cNvSpPr txBox="1"/>
                            <wps:spPr>
                              <a:xfrm>
                                <a:off x="0" y="0"/>
                                <a:ext cx="2007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86410" cy="175260"/>
                      <wp:effectExtent l="0" t="0" r="0" b="0"/>
                      <wp:wrapNone/>
                      <wp:docPr id="24" name="Frame2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4460" cy="175260"/>
                      <wp:effectExtent l="0" t="0" r="0" b="0"/>
                      <wp:wrapNone/>
                      <wp:docPr id="26" name="Frame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38125" cy="175260"/>
                      <wp:effectExtent l="0" t="0" r="0" b="0"/>
                      <wp:wrapNone/>
                      <wp:docPr id="27" name="Frame26"/>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14935" cy="175260"/>
                      <wp:effectExtent l="0" t="0" r="0" b="0"/>
                      <wp:wrapNone/>
                      <wp:docPr id="29" name="Frame2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72110" cy="175260"/>
                      <wp:effectExtent l="0" t="0" r="0" b="0"/>
                      <wp:wrapNone/>
                      <wp:docPr id="30" name="Frame2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0185" cy="175260"/>
                      <wp:effectExtent l="0" t="0" r="0" b="0"/>
                      <wp:wrapNone/>
                      <wp:docPr id="32" name="Frame3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38150" cy="175260"/>
                      <wp:effectExtent l="0" t="0" r="0" b="0"/>
                      <wp:wrapNone/>
                      <wp:docPr id="33" name="Frame32"/>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23190" cy="175260"/>
                      <wp:effectExtent l="0" t="0" r="0" b="0"/>
                      <wp:wrapNone/>
                      <wp:docPr id="35" name="Frame34"/>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29895" cy="175260"/>
                      <wp:effectExtent l="0" t="0" r="0" b="0"/>
                      <wp:wrapNone/>
                      <wp:docPr id="36" name="Frame35"/>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2240" cy="175260"/>
                      <wp:effectExtent l="0" t="0" r="0" b="0"/>
                      <wp:wrapNone/>
                      <wp:docPr id="38" name="Frame37"/>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74980" cy="175260"/>
                      <wp:effectExtent l="0" t="0" r="0" b="0"/>
                      <wp:wrapNone/>
                      <wp:docPr id="39" name="Frame38"/>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46" w:type="dxa"/>
            <w:tcBorders/>
            <w:vAlign w:val="center"/>
          </w:tcPr>
          <w:p>
            <w:pPr>
              <w:pStyle w:val="TableContents"/>
              <w:bidi w:val="0"/>
              <w:spacing w:before="0" w:after="0"/>
              <w:ind w:left="0" w:right="0" w:hanging="0"/>
              <w:jc w:val="left"/>
              <w:rPr/>
            </w:pPr>
            <w:r>
              <w:rPr/>
              <w:t>  ​ ​ ​</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72" w:type="dxa"/>
            <w:gridSpan w:val="2"/>
            <w:tcBorders/>
            <w:vAlign w:val="center"/>
          </w:tcPr>
          <w:p>
            <w:pPr>
              <w:pStyle w:val="TableContents"/>
              <w:bidi w:val="0"/>
              <w:spacing w:before="0" w:after="0"/>
              <w:ind w:left="0" w:right="0" w:hanging="0"/>
              <w:jc w:val="center"/>
              <w:rPr/>
            </w:pPr>
            <w:r>
              <w:rPr/>
              <w:t>​</w:t>
            </w:r>
          </w:p>
        </w:tc>
      </w:tr>
      <w:tr>
        <w:trPr/>
        <w:tc>
          <w:tcPr>
            <w:tcW w:w="3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Additional</w:t>
            </w:r>
          </w:p>
        </w:tc>
        <w:tc>
          <w:tcPr>
            <w:tcW w:w="34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Other</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72"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3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8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Paid-in</w:t>
            </w:r>
          </w:p>
        </w:tc>
        <w:tc>
          <w:tcPr>
            <w:tcW w:w="34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Comprehensive</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46" w:type="dxa"/>
            <w:tcBorders/>
            <w:vAlign w:val="center"/>
          </w:tcPr>
          <w:p>
            <w:pPr>
              <w:pStyle w:val="TableContents"/>
              <w:bidi w:val="0"/>
              <w:spacing w:before="0" w:after="0"/>
              <w:ind w:left="0" w:right="0" w:hanging="0"/>
              <w:jc w:val="left"/>
              <w:rPr/>
            </w:pPr>
            <w:r>
              <w:rPr/>
              <w:t>​</w:t>
            </w:r>
          </w:p>
        </w:tc>
        <w:tc>
          <w:tcPr>
            <w:tcW w:w="972"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Stockholders’</w:t>
            </w:r>
          </w:p>
        </w:tc>
      </w:tr>
      <w:tr>
        <w:trPr/>
        <w:tc>
          <w:tcPr>
            <w:tcW w:w="3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Capital</w:t>
            </w:r>
          </w:p>
        </w:tc>
        <w:tc>
          <w:tcPr>
            <w:tcW w:w="346" w:type="dxa"/>
            <w:tcBorders/>
            <w:vAlign w:val="center"/>
          </w:tcPr>
          <w:p>
            <w:pPr>
              <w:pStyle w:val="TableContents"/>
              <w:bidi w:val="0"/>
              <w:spacing w:before="0" w:after="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(Loss) Income</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Deficit</w:t>
            </w:r>
          </w:p>
        </w:tc>
        <w:tc>
          <w:tcPr>
            <w:tcW w:w="346" w:type="dxa"/>
            <w:tcBorders/>
            <w:vAlign w:val="center"/>
          </w:tcPr>
          <w:p>
            <w:pPr>
              <w:pStyle w:val="TableContents"/>
              <w:bidi w:val="0"/>
              <w:spacing w:before="0" w:after="0"/>
              <w:ind w:left="0" w:right="0" w:hanging="0"/>
              <w:jc w:val="left"/>
              <w:rPr/>
            </w:pPr>
            <w:r>
              <w:rPr/>
              <w:t>​</w:t>
            </w:r>
          </w:p>
        </w:tc>
        <w:tc>
          <w:tcPr>
            <w:tcW w:w="9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w:t>
            </w:r>
          </w:p>
        </w:tc>
      </w:tr>
      <w:tr>
        <w:trPr/>
        <w:tc>
          <w:tcPr>
            <w:tcW w:w="3161" w:type="dxa"/>
            <w:tcBorders/>
            <w:shd w:fill="CCEEFF" w:val="clear"/>
            <w:vAlign w:val="center"/>
          </w:tcPr>
          <w:p>
            <w:pPr>
              <w:pStyle w:val="TableContents"/>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 xml:space="preserve">Balance, January 1, 2026 </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57,032,963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416,083</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60</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(362,579)</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53,570</w:t>
            </w:r>
          </w:p>
        </w:tc>
      </w:tr>
      <w:tr>
        <w:trPr/>
        <w:tc>
          <w:tcPr>
            <w:tcW w:w="316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 xml:space="preserve">At-the-Market offering, </w:t>
              <w:br/>
              <w:t>net of issuance costs of $150</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1,451,439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5,855</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5,855</w:t>
            </w:r>
          </w:p>
        </w:tc>
      </w:tr>
      <w:tr>
        <w:trPr/>
        <w:tc>
          <w:tcPr>
            <w:tcW w:w="316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Unrealized loss on marketable securities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 </w:t>
            </w:r>
          </w:p>
        </w:tc>
        <w:tc>
          <w:tcPr>
            <w:tcW w:w="6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r>
      <w:tr>
        <w:trPr/>
        <w:tc>
          <w:tcPr>
            <w:tcW w:w="316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Stock-based compensation</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2,851</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2,851</w:t>
            </w:r>
          </w:p>
        </w:tc>
      </w:tr>
      <w:tr>
        <w:trPr/>
        <w:tc>
          <w:tcPr>
            <w:tcW w:w="316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Restricted stock unit vesting</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140,035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(354)</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(354)</w:t>
            </w:r>
          </w:p>
        </w:tc>
      </w:tr>
      <w:tr>
        <w:trPr/>
        <w:tc>
          <w:tcPr>
            <w:tcW w:w="316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Exercise of stock options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6,278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26</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26</w:t>
            </w:r>
          </w:p>
        </w:tc>
      </w:tr>
      <w:tr>
        <w:trPr/>
        <w:tc>
          <w:tcPr>
            <w:tcW w:w="316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Adjustment to carrying value of Series A Preferred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35</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 </w:t>
            </w:r>
          </w:p>
        </w:tc>
        <w:tc>
          <w:tcPr>
            <w:tcW w:w="6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35</w:t>
            </w:r>
          </w:p>
        </w:tc>
      </w:tr>
      <w:tr>
        <w:trPr/>
        <w:tc>
          <w:tcPr>
            <w:tcW w:w="316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loss</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(20,691)</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(20,691)</w:t>
            </w:r>
          </w:p>
        </w:tc>
      </w:tr>
      <w:tr>
        <w:trPr/>
        <w:tc>
          <w:tcPr>
            <w:tcW w:w="3161" w:type="dxa"/>
            <w:tcBorders/>
            <w:shd w:fill="CCEEFF" w:val="clear"/>
            <w:vAlign w:val="center"/>
          </w:tcPr>
          <w:p>
            <w:pPr>
              <w:pStyle w:val="TableContents"/>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Balance,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58,630,715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424,496</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(40)</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(383,270)</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41,192</w:t>
            </w:r>
          </w:p>
        </w:tc>
      </w:tr>
      <w:tr>
        <w:trPr/>
        <w:tc>
          <w:tcPr>
            <w:tcW w:w="316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Unrealized loss on marketable securities</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(41)</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(41)</w:t>
            </w:r>
          </w:p>
        </w:tc>
      </w:tr>
      <w:tr>
        <w:trPr/>
        <w:tc>
          <w:tcPr>
            <w:tcW w:w="316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2,505</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2,505</w:t>
            </w:r>
          </w:p>
        </w:tc>
      </w:tr>
      <w:tr>
        <w:trPr/>
        <w:tc>
          <w:tcPr>
            <w:tcW w:w="316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Restricted stock unit vesting</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222,084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(262)</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(262)</w:t>
            </w:r>
          </w:p>
        </w:tc>
      </w:tr>
      <w:tr>
        <w:trPr/>
        <w:tc>
          <w:tcPr>
            <w:tcW w:w="316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Exercise of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2,250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w:t>
            </w:r>
          </w:p>
        </w:tc>
      </w:tr>
      <w:tr>
        <w:trPr/>
        <w:tc>
          <w:tcPr>
            <w:tcW w:w="316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Exercise of pre-funded warrants</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1,250,000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pPr>
            <w:r>
              <w:rPr/>
              <w:t>—</w:t>
            </w:r>
          </w:p>
        </w:tc>
      </w:tr>
      <w:tr>
        <w:trPr/>
        <w:tc>
          <w:tcPr>
            <w:tcW w:w="316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Adjustment to carrying value of Series A Preferred Stock</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(324)</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(324)</w:t>
            </w:r>
          </w:p>
        </w:tc>
      </w:tr>
      <w:tr>
        <w:trPr/>
        <w:tc>
          <w:tcPr>
            <w:tcW w:w="316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loss</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(23,755)</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(23,755)</w:t>
            </w:r>
          </w:p>
        </w:tc>
      </w:tr>
      <w:tr>
        <w:trPr/>
        <w:tc>
          <w:tcPr>
            <w:tcW w:w="3161" w:type="dxa"/>
            <w:tcBorders/>
            <w:shd w:fill="CCEEFF" w:val="clear"/>
            <w:vAlign w:val="center"/>
          </w:tcPr>
          <w:p>
            <w:pPr>
              <w:pStyle w:val="TableContents"/>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Balance,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60,105,049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426,423</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(81)</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(407,025)</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48" w:type="dxa"/>
            <w:tcBorders>
              <w:bottom w:val="double" w:sz="6" w:space="0" w:color="000000"/>
            </w:tcBorders>
            <w:shd w:fill="CCEEFF" w:val="clear"/>
            <w:tcMar>
              <w:bottom w:w="28" w:type="dxa"/>
            </w:tcMar>
            <w:vAlign w:val="center"/>
          </w:tcPr>
          <w:p>
            <w:pPr>
              <w:pStyle w:val="TableContents"/>
              <w:bidi w:val="0"/>
              <w:spacing w:before="0" w:after="0"/>
              <w:ind w:left="0" w:right="40" w:hanging="0"/>
              <w:jc w:val="right"/>
              <w:rPr>
                <w:rFonts w:ascii="Times New Roman;Times;serif" w:hAnsi="Times New Roman;Times;serif"/>
                <w:sz w:val="13"/>
              </w:rPr>
            </w:pPr>
            <w:r>
              <w:rPr>
                <w:rFonts w:ascii="Times New Roman;Times;serif" w:hAnsi="Times New Roman;Times;serif"/>
                <w:sz w:val="13"/>
              </w:rPr>
              <w:t>19,323</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Normal"/>
        <w:bidi w:val="0"/>
        <w:spacing w:before="0" w:after="0"/>
        <w:jc w:val="left"/>
        <w:rPr>
          <w:sz w:val="4"/>
          <w:szCs w:val="4"/>
        </w:rPr>
      </w:pPr>
      <w:r>
        <w:rPr>
          <w:sz w:val="4"/>
          <w:szCs w:val="4"/>
        </w:rPr>
      </w:r>
      <w:bookmarkStart w:id="478" w:name="Tc_vYSWz0x37k-dj4_m407_-w_16_16"/>
      <w:bookmarkStart w:id="479" w:name="Tc_7iHDwa0PsECFFEFtCHsiLw_16_13"/>
      <w:bookmarkStart w:id="480" w:name="Tc_M0hVKf0g1UCblI6G06Y2LA_16_10"/>
      <w:bookmarkStart w:id="481" w:name="Tc_4FlzBEhuI0WQQ9XG1mzN8Q_16_7"/>
      <w:bookmarkStart w:id="482" w:name="Tc_aZPEfaNBPUmpzwR36a21vQ_16_4"/>
      <w:bookmarkStart w:id="483" w:name="Tc_vcjdusFIg0Os6Jn0kkHI3A_16_0"/>
      <w:bookmarkStart w:id="484" w:name="Tc_Qe7kXJX04kmLvvVYTY_bLw_15_11"/>
      <w:bookmarkStart w:id="485" w:name="Tc_xOrfTdimIkuuyzmn_dKYGQ_15_8"/>
      <w:bookmarkStart w:id="486" w:name="Tc_allkyo0g_E6W0CfVAz9awQ_15_5"/>
      <w:bookmarkStart w:id="487" w:name="Tc_7FwPVNgHf0iQ4kzcDx8Gfg_15_2"/>
      <w:bookmarkStart w:id="488" w:name="Tc_UGhWi-E6zEKhOscKgHvbgg_15_0"/>
      <w:bookmarkStart w:id="489" w:name="Tc_O64YuUB5EkeCNQk6aCnmMw_14_14"/>
      <w:bookmarkStart w:id="490" w:name="Tc_8TgRre05GEew-GmPcB93AQ_14_11"/>
      <w:bookmarkStart w:id="491" w:name="Tc__css4E7MuEC-Ya59AIijuQ_14_5"/>
      <w:bookmarkStart w:id="492" w:name="Tc_lmIlCBUJdUWzE6bviHAc2A_14_0"/>
      <w:bookmarkStart w:id="493" w:name="Tc_ECZGxrLqV0-aMzJwA65f6Q_13_14"/>
      <w:bookmarkStart w:id="494" w:name="Tc_GKRKBMbN9kqhlDEkhzYFxw_13_11"/>
      <w:bookmarkStart w:id="495" w:name="Tc_ingnKI505UWV9KqDt64uOg_13_5"/>
      <w:bookmarkStart w:id="496" w:name="Tc_O2U6EUAX3E2uTf-yUbIQGg_13_2"/>
      <w:bookmarkStart w:id="497" w:name="Tc_112_ste3DUmsLRrZviSEig_13_0"/>
      <w:bookmarkStart w:id="498" w:name="Tc_VcFu1_Hw1EmRIXitaEENaQ_12_14"/>
      <w:bookmarkStart w:id="499" w:name="Tc_aB3kW8E-60OrJOK4WByBEw_12_8"/>
      <w:bookmarkStart w:id="500" w:name="Tc_FcsHAxCfPUOeAnLUfrd3og_12_5"/>
      <w:bookmarkStart w:id="501" w:name="Tc_9wk5MX405kq07EHhab71Wg_12_2"/>
      <w:bookmarkStart w:id="502" w:name="Tc_OVXWqRjbbUyph0KtR0MzWg_12_0"/>
      <w:bookmarkStart w:id="503" w:name="Tc__eSsCTQwxEmZCM45InW7gg_11_16"/>
      <w:bookmarkStart w:id="504" w:name="Tc_wgHBxHkr7E6q6ZjC1F0OBg_11_13"/>
      <w:bookmarkStart w:id="505" w:name="Tc_ZjQ0OAZlwkGxHI0AGRqzqA_11_10"/>
      <w:bookmarkStart w:id="506" w:name="Tc_dfD2nQem_E6e3saSksElGw_11_7"/>
      <w:bookmarkStart w:id="507" w:name="Tc_l9268ffH-EiFOfTZ6qMKzw_11_4"/>
      <w:bookmarkStart w:id="508" w:name="Tc_H-Dqgx_t7UijH0a2xoIZwQ_11_0"/>
      <w:bookmarkStart w:id="509" w:name="Tc_24KDAKAn9U-8iFBKIWEhyQ_10_11"/>
      <w:bookmarkStart w:id="510" w:name="Tc_G9s1hMMQYEikeCtLhLfT2Q_10_8"/>
      <w:bookmarkStart w:id="511" w:name="Tc_UTP6rVjWwkSCIL1eW9Gr_w_10_5"/>
      <w:bookmarkStart w:id="512" w:name="Tc_S9sgg1sfSEaYZ-OoXQDd7A_10_2"/>
      <w:bookmarkStart w:id="513" w:name="Tc_krXGpzPV2km9e0E4j2G0aQ_10_0"/>
      <w:bookmarkStart w:id="514" w:name="Tc_42U46iyh9Uaz_wRMm9u4Cw_9_14"/>
      <w:bookmarkStart w:id="515" w:name="Tc_Qe2j8qVs0kSfi972PoFKig_9_11"/>
      <w:bookmarkStart w:id="516" w:name="Tc_uahJEAkQUkqlrzeUWJ82og_9_5"/>
      <w:bookmarkStart w:id="517" w:name="Tc_yeQn-FjKhUWVbBg2SHm26w_9_0"/>
      <w:bookmarkStart w:id="518" w:name="Tc_hHtvEfVDqUa2lGzW_xIYUw_8_14"/>
      <w:bookmarkStart w:id="519" w:name="Tc_MyKgIhJOL0q1fd0V1VLg4A_8_11"/>
      <w:bookmarkStart w:id="520" w:name="Tc_HG9b3SWLukqwniyTckkJgw_8_5"/>
      <w:bookmarkStart w:id="521" w:name="Tc_PZMfu4K3w0OI2Ei_rmS-cw_8_0"/>
      <w:bookmarkStart w:id="522" w:name="Tc_3dkQSrWxeEWkpCd_YMxunw_7_14"/>
      <w:bookmarkStart w:id="523" w:name="Tc_7wEIUxwXp0CV0OqXdW3uUA_7_11"/>
      <w:bookmarkStart w:id="524" w:name="Tc_fUbUlBcoAk6JNEYA3-dmYw_7_5"/>
      <w:bookmarkStart w:id="525" w:name="Tc_ED9F0eSOL0q7r-6oBctpKA_7_2"/>
      <w:bookmarkStart w:id="526" w:name="Tc_fMtd7vDKgEm-Bm36uRnykg_7_0"/>
      <w:bookmarkStart w:id="527" w:name="Tc_rSsdX1PiMUurqOWZRolwRw_6_14"/>
      <w:bookmarkStart w:id="528" w:name="Tc_qUZ8agxuWUy_3zrfrlTdEQ_6_8"/>
      <w:bookmarkStart w:id="529" w:name="Tc_6lGnqNeU20u40Z4_5xrTQg_6_5"/>
      <w:bookmarkStart w:id="530" w:name="Tc_N-0oa0muQkOzFcTTTABRdg_6_2"/>
      <w:bookmarkStart w:id="531" w:name="Tc_KzqLiX_9R0SHDE4nh-PGXg_6_0"/>
      <w:bookmarkStart w:id="532" w:name="Tc_QUxis0RAI0yq3M_QfelLwg_5_16"/>
      <w:bookmarkStart w:id="533" w:name="Tc_YN4I5gJvfkSUTI2orh5X4g_5_13"/>
      <w:bookmarkStart w:id="534" w:name="Tc_U71hyyPPtEyR9y0B7RecDA_5_10"/>
      <w:bookmarkStart w:id="535" w:name="Tc_RwYFlJhTeUC7bDHwoLV_xg_5_7"/>
      <w:bookmarkStart w:id="536" w:name="Tc_aQof5YPuAkylTBd5jzpgtw_5_4"/>
      <w:bookmarkStart w:id="537" w:name="Tc_t5Bl9d59DUKbdO-emKS6sQ_5_0"/>
      <w:bookmarkStart w:id="538" w:name="Tc_GHA7lQprmE2RIT1ZfeLC0A_4_16"/>
      <w:bookmarkStart w:id="539" w:name="Tc_5pzB_GDzxkyqHxsqhAHT2A_4_13"/>
      <w:bookmarkStart w:id="540" w:name="Tc_6a57DMXKU0yJlmAgVOcVeA_4_10"/>
      <w:bookmarkStart w:id="541" w:name="Tc_xmNmwkFqKU2nt3IMgdevEg_4_7"/>
      <w:bookmarkStart w:id="542" w:name="Tc_NrQZ3I3qe0KF-_l8vp8iEg_4_4"/>
      <w:bookmarkStart w:id="543" w:name="Tc_L8ex6hAsoEisBNMEqTee4w_4_2"/>
      <w:bookmarkStart w:id="544" w:name="Tc_7tfWiQP_30OXtuzdxM3tsg_3_16"/>
      <w:bookmarkStart w:id="545" w:name="Tc_uHtf7n8EykWLAz85dyNEXw_3_13"/>
      <w:bookmarkStart w:id="546" w:name="Tc_hRf3MUEp6kKwAv7VML8ENA_3_10"/>
      <w:bookmarkStart w:id="547" w:name="Tc_BSdujDVQ_0KbQJTUZgDZlQ_3_7"/>
      <w:bookmarkStart w:id="548" w:name="Tc_qPHto65qakKuCAoEXQVSSw_3_2"/>
      <w:bookmarkStart w:id="549" w:name="Tc_8653TOT95kuNRJRpiD5Vmg_2_16"/>
      <w:bookmarkStart w:id="550" w:name="Tc_zrBuhgOsGkOcB0dTYEWxSA_2_10"/>
      <w:bookmarkStart w:id="551" w:name="Tc_IqMnwIdsfkWld2s1gWntJA_2_7"/>
      <w:bookmarkStart w:id="552" w:name="Tc_iV337Afc5EenVzDvYU5L3g_1_10"/>
      <w:bookmarkStart w:id="553" w:name="_77c62171_6175_4a40_aa46_0f36c2586a68"/>
      <w:bookmarkStart w:id="554" w:name="Tc_vYSWz0x37k-dj4_m407_-w_16_16"/>
      <w:bookmarkStart w:id="555" w:name="Tc_7iHDwa0PsECFFEFtCHsiLw_16_13"/>
      <w:bookmarkStart w:id="556" w:name="Tc_M0hVKf0g1UCblI6G06Y2LA_16_10"/>
      <w:bookmarkStart w:id="557" w:name="Tc_4FlzBEhuI0WQQ9XG1mzN8Q_16_7"/>
      <w:bookmarkStart w:id="558" w:name="Tc_aZPEfaNBPUmpzwR36a21vQ_16_4"/>
      <w:bookmarkStart w:id="559" w:name="Tc_vcjdusFIg0Os6Jn0kkHI3A_16_0"/>
      <w:bookmarkStart w:id="560" w:name="Tc_Qe7kXJX04kmLvvVYTY_bLw_15_11"/>
      <w:bookmarkStart w:id="561" w:name="Tc_xOrfTdimIkuuyzmn_dKYGQ_15_8"/>
      <w:bookmarkStart w:id="562" w:name="Tc_allkyo0g_E6W0CfVAz9awQ_15_5"/>
      <w:bookmarkStart w:id="563" w:name="Tc_7FwPVNgHf0iQ4kzcDx8Gfg_15_2"/>
      <w:bookmarkStart w:id="564" w:name="Tc_UGhWi-E6zEKhOscKgHvbgg_15_0"/>
      <w:bookmarkStart w:id="565" w:name="Tc_O64YuUB5EkeCNQk6aCnmMw_14_14"/>
      <w:bookmarkStart w:id="566" w:name="Tc_8TgRre05GEew-GmPcB93AQ_14_11"/>
      <w:bookmarkStart w:id="567" w:name="Tc__css4E7MuEC-Ya59AIijuQ_14_5"/>
      <w:bookmarkStart w:id="568" w:name="Tc_lmIlCBUJdUWzE6bviHAc2A_14_0"/>
      <w:bookmarkStart w:id="569" w:name="Tc_ECZGxrLqV0-aMzJwA65f6Q_13_14"/>
      <w:bookmarkStart w:id="570" w:name="Tc_GKRKBMbN9kqhlDEkhzYFxw_13_11"/>
      <w:bookmarkStart w:id="571" w:name="Tc_ingnKI505UWV9KqDt64uOg_13_5"/>
      <w:bookmarkStart w:id="572" w:name="Tc_O2U6EUAX3E2uTf-yUbIQGg_13_2"/>
      <w:bookmarkStart w:id="573" w:name="Tc_112_ste3DUmsLRrZviSEig_13_0"/>
      <w:bookmarkStart w:id="574" w:name="Tc_VcFu1_Hw1EmRIXitaEENaQ_12_14"/>
      <w:bookmarkStart w:id="575" w:name="Tc_aB3kW8E-60OrJOK4WByBEw_12_8"/>
      <w:bookmarkStart w:id="576" w:name="Tc_FcsHAxCfPUOeAnLUfrd3og_12_5"/>
      <w:bookmarkStart w:id="577" w:name="Tc_9wk5MX405kq07EHhab71Wg_12_2"/>
      <w:bookmarkStart w:id="578" w:name="Tc_OVXWqRjbbUyph0KtR0MzWg_12_0"/>
      <w:bookmarkStart w:id="579" w:name="Tc__eSsCTQwxEmZCM45InW7gg_11_16"/>
      <w:bookmarkStart w:id="580" w:name="Tc_wgHBxHkr7E6q6ZjC1F0OBg_11_13"/>
      <w:bookmarkStart w:id="581" w:name="Tc_ZjQ0OAZlwkGxHI0AGRqzqA_11_10"/>
      <w:bookmarkStart w:id="582" w:name="Tc_dfD2nQem_E6e3saSksElGw_11_7"/>
      <w:bookmarkStart w:id="583" w:name="Tc_l9268ffH-EiFOfTZ6qMKzw_11_4"/>
      <w:bookmarkStart w:id="584" w:name="Tc_H-Dqgx_t7UijH0a2xoIZwQ_11_0"/>
      <w:bookmarkStart w:id="585" w:name="Tc_24KDAKAn9U-8iFBKIWEhyQ_10_11"/>
      <w:bookmarkStart w:id="586" w:name="Tc_G9s1hMMQYEikeCtLhLfT2Q_10_8"/>
      <w:bookmarkStart w:id="587" w:name="Tc_UTP6rVjWwkSCIL1eW9Gr_w_10_5"/>
      <w:bookmarkStart w:id="588" w:name="Tc_S9sgg1sfSEaYZ-OoXQDd7A_10_2"/>
      <w:bookmarkStart w:id="589" w:name="Tc_krXGpzPV2km9e0E4j2G0aQ_10_0"/>
      <w:bookmarkStart w:id="590" w:name="Tc_42U46iyh9Uaz_wRMm9u4Cw_9_14"/>
      <w:bookmarkStart w:id="591" w:name="Tc_Qe2j8qVs0kSfi972PoFKig_9_11"/>
      <w:bookmarkStart w:id="592" w:name="Tc_uahJEAkQUkqlrzeUWJ82og_9_5"/>
      <w:bookmarkStart w:id="593" w:name="Tc_yeQn-FjKhUWVbBg2SHm26w_9_0"/>
      <w:bookmarkStart w:id="594" w:name="Tc_hHtvEfVDqUa2lGzW_xIYUw_8_14"/>
      <w:bookmarkStart w:id="595" w:name="Tc_MyKgIhJOL0q1fd0V1VLg4A_8_11"/>
      <w:bookmarkStart w:id="596" w:name="Tc_HG9b3SWLukqwniyTckkJgw_8_5"/>
      <w:bookmarkStart w:id="597" w:name="Tc_PZMfu4K3w0OI2Ei_rmS-cw_8_0"/>
      <w:bookmarkStart w:id="598" w:name="Tc_3dkQSrWxeEWkpCd_YMxunw_7_14"/>
      <w:bookmarkStart w:id="599" w:name="Tc_7wEIUxwXp0CV0OqXdW3uUA_7_11"/>
      <w:bookmarkStart w:id="600" w:name="Tc_fUbUlBcoAk6JNEYA3-dmYw_7_5"/>
      <w:bookmarkStart w:id="601" w:name="Tc_ED9F0eSOL0q7r-6oBctpKA_7_2"/>
      <w:bookmarkStart w:id="602" w:name="Tc_fMtd7vDKgEm-Bm36uRnykg_7_0"/>
      <w:bookmarkStart w:id="603" w:name="Tc_rSsdX1PiMUurqOWZRolwRw_6_14"/>
      <w:bookmarkStart w:id="604" w:name="Tc_qUZ8agxuWUy_3zrfrlTdEQ_6_8"/>
      <w:bookmarkStart w:id="605" w:name="Tc_6lGnqNeU20u40Z4_5xrTQg_6_5"/>
      <w:bookmarkStart w:id="606" w:name="Tc_N-0oa0muQkOzFcTTTABRdg_6_2"/>
      <w:bookmarkStart w:id="607" w:name="Tc_KzqLiX_9R0SHDE4nh-PGXg_6_0"/>
      <w:bookmarkStart w:id="608" w:name="Tc_QUxis0RAI0yq3M_QfelLwg_5_16"/>
      <w:bookmarkStart w:id="609" w:name="Tc_YN4I5gJvfkSUTI2orh5X4g_5_13"/>
      <w:bookmarkStart w:id="610" w:name="Tc_U71hyyPPtEyR9y0B7RecDA_5_10"/>
      <w:bookmarkStart w:id="611" w:name="Tc_RwYFlJhTeUC7bDHwoLV_xg_5_7"/>
      <w:bookmarkStart w:id="612" w:name="Tc_aQof5YPuAkylTBd5jzpgtw_5_4"/>
      <w:bookmarkStart w:id="613" w:name="Tc_t5Bl9d59DUKbdO-emKS6sQ_5_0"/>
      <w:bookmarkStart w:id="614" w:name="Tc_GHA7lQprmE2RIT1ZfeLC0A_4_16"/>
      <w:bookmarkStart w:id="615" w:name="Tc_5pzB_GDzxkyqHxsqhAHT2A_4_13"/>
      <w:bookmarkStart w:id="616" w:name="Tc_6a57DMXKU0yJlmAgVOcVeA_4_10"/>
      <w:bookmarkStart w:id="617" w:name="Tc_xmNmwkFqKU2nt3IMgdevEg_4_7"/>
      <w:bookmarkStart w:id="618" w:name="Tc_NrQZ3I3qe0KF-_l8vp8iEg_4_4"/>
      <w:bookmarkStart w:id="619" w:name="Tc_L8ex6hAsoEisBNMEqTee4w_4_2"/>
      <w:bookmarkStart w:id="620" w:name="Tc_7tfWiQP_30OXtuzdxM3tsg_3_16"/>
      <w:bookmarkStart w:id="621" w:name="Tc_uHtf7n8EykWLAz85dyNEXw_3_13"/>
      <w:bookmarkStart w:id="622" w:name="Tc_hRf3MUEp6kKwAv7VML8ENA_3_10"/>
      <w:bookmarkStart w:id="623" w:name="Tc_BSdujDVQ_0KbQJTUZgDZlQ_3_7"/>
      <w:bookmarkStart w:id="624" w:name="Tc_qPHto65qakKuCAoEXQVSSw_3_2"/>
      <w:bookmarkStart w:id="625" w:name="Tc_8653TOT95kuNRJRpiD5Vmg_2_16"/>
      <w:bookmarkStart w:id="626" w:name="Tc_zrBuhgOsGkOcB0dTYEWxSA_2_10"/>
      <w:bookmarkStart w:id="627" w:name="Tc_IqMnwIdsfkWld2s1gWntJA_2_7"/>
      <w:bookmarkStart w:id="628" w:name="Tc_iV337Afc5EenVzDvYU5L3g_1_10"/>
      <w:bookmarkStart w:id="629" w:name="_77c62171_6175_4a40_aa46_0f36c2586a68"/>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tbl>
      <w:tblPr>
        <w:tblW w:w="9478" w:type="dxa"/>
        <w:jc w:val="left"/>
        <w:tblInd w:w="0" w:type="dxa"/>
        <w:tblLayout w:type="fixed"/>
        <w:tblCellMar>
          <w:top w:w="0" w:type="dxa"/>
          <w:left w:w="0" w:type="dxa"/>
          <w:bottom w:w="0" w:type="dxa"/>
          <w:right w:w="0" w:type="dxa"/>
        </w:tblCellMar>
      </w:tblPr>
      <w:tblGrid>
        <w:gridCol w:w="2431"/>
        <w:gridCol w:w="346"/>
        <w:gridCol w:w="766"/>
        <w:gridCol w:w="346"/>
        <w:gridCol w:w="196"/>
        <w:gridCol w:w="375"/>
        <w:gridCol w:w="346"/>
        <w:gridCol w:w="181"/>
        <w:gridCol w:w="586"/>
        <w:gridCol w:w="346"/>
        <w:gridCol w:w="350"/>
        <w:gridCol w:w="671"/>
        <w:gridCol w:w="346"/>
        <w:gridCol w:w="194"/>
        <w:gridCol w:w="677"/>
        <w:gridCol w:w="346"/>
        <w:gridCol w:w="225"/>
        <w:gridCol w:w="750"/>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543685" cy="175260"/>
                      <wp:effectExtent l="0" t="0" r="0" b="0"/>
                      <wp:wrapNone/>
                      <wp:docPr id="40" name="Frame39"/>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86410" cy="175260"/>
                      <wp:effectExtent l="0" t="0" r="0" b="0"/>
                      <wp:wrapNone/>
                      <wp:docPr id="42" name="Frame4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4"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38125" cy="175260"/>
                      <wp:effectExtent l="0" t="0" r="0" b="0"/>
                      <wp:wrapNone/>
                      <wp:docPr id="45" name="Frame4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14935" cy="175260"/>
                      <wp:effectExtent l="0" t="0" r="0" b="0"/>
                      <wp:wrapNone/>
                      <wp:docPr id="47" name="Frame4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72110" cy="175260"/>
                      <wp:effectExtent l="0" t="0" r="0" b="0"/>
                      <wp:wrapNone/>
                      <wp:docPr id="48" name="Frame4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22250" cy="175260"/>
                      <wp:effectExtent l="0" t="0" r="0" b="0"/>
                      <wp:wrapNone/>
                      <wp:docPr id="50" name="Frame49"/>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26085" cy="175260"/>
                      <wp:effectExtent l="0" t="0" r="0" b="0"/>
                      <wp:wrapNone/>
                      <wp:docPr id="51" name="Frame50"/>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3190" cy="175260"/>
                      <wp:effectExtent l="0" t="0" r="0" b="0"/>
                      <wp:wrapNone/>
                      <wp:docPr id="53" name="Frame52"/>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29895" cy="175260"/>
                      <wp:effectExtent l="0" t="0" r="0" b="0"/>
                      <wp:wrapNone/>
                      <wp:docPr id="54" name="Frame53"/>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42875" cy="175260"/>
                      <wp:effectExtent l="0" t="0" r="0" b="0"/>
                      <wp:wrapNone/>
                      <wp:docPr id="56" name="Frame55"/>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76250" cy="175260"/>
                      <wp:effectExtent l="0" t="0" r="0" b="0"/>
                      <wp:wrapNone/>
                      <wp:docPr id="57" name="Frame56"/>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46" w:type="dxa"/>
            <w:tcBorders/>
            <w:vAlign w:val="center"/>
          </w:tcPr>
          <w:p>
            <w:pPr>
              <w:pStyle w:val="TableContents"/>
              <w:bidi w:val="0"/>
              <w:spacing w:before="0" w:after="1"/>
              <w:ind w:left="0" w:right="0" w:hanging="0"/>
              <w:jc w:val="left"/>
              <w:rPr/>
            </w:pPr>
            <w:r>
              <w:rPr/>
              <w:t>  ​ ​ ​</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75" w:type="dxa"/>
            <w:gridSpan w:val="2"/>
            <w:tcBorders/>
            <w:vAlign w:val="center"/>
          </w:tcPr>
          <w:p>
            <w:pPr>
              <w:pStyle w:val="TableContents"/>
              <w:bidi w:val="0"/>
              <w:spacing w:before="0" w:after="1"/>
              <w:ind w:left="0" w:right="0" w:hanging="0"/>
              <w:jc w:val="center"/>
              <w:rPr/>
            </w:pPr>
            <w:r>
              <w:rPr/>
              <w:t>​</w:t>
            </w:r>
          </w:p>
        </w:tc>
      </w:tr>
      <w:tr>
        <w:trPr/>
        <w:tc>
          <w:tcPr>
            <w:tcW w:w="24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Additional</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Other</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75"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24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8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Paid-in</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Comprehensive</w:t>
            </w:r>
          </w:p>
        </w:tc>
        <w:tc>
          <w:tcPr>
            <w:tcW w:w="34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46" w:type="dxa"/>
            <w:tcBorders/>
            <w:vAlign w:val="center"/>
          </w:tcPr>
          <w:p>
            <w:pPr>
              <w:pStyle w:val="TableContents"/>
              <w:bidi w:val="0"/>
              <w:spacing w:before="0" w:after="1"/>
              <w:ind w:left="0" w:right="0" w:hanging="0"/>
              <w:jc w:val="left"/>
              <w:rPr/>
            </w:pPr>
            <w:r>
              <w:rPr/>
              <w:t>​</w:t>
            </w:r>
          </w:p>
        </w:tc>
        <w:tc>
          <w:tcPr>
            <w:tcW w:w="975"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Stockholders’</w:t>
            </w:r>
          </w:p>
        </w:tc>
      </w:tr>
      <w:tr>
        <w:trPr/>
        <w:tc>
          <w:tcPr>
            <w:tcW w:w="24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46" w:type="dxa"/>
            <w:tcBorders/>
            <w:vAlign w:val="center"/>
          </w:tcPr>
          <w:p>
            <w:pPr>
              <w:pStyle w:val="TableContents"/>
              <w:bidi w:val="0"/>
              <w:spacing w:before="0" w:after="1"/>
              <w:ind w:left="0" w:right="0" w:hanging="0"/>
              <w:jc w:val="left"/>
              <w:rPr/>
            </w:pPr>
            <w:r>
              <w:rPr/>
              <w:t>​</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Capital</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Income</w:t>
            </w:r>
          </w:p>
        </w:tc>
        <w:tc>
          <w:tcPr>
            <w:tcW w:w="346" w:type="dxa"/>
            <w:tcBorders/>
            <w:vAlign w:val="center"/>
          </w:tcPr>
          <w:p>
            <w:pPr>
              <w:pStyle w:val="TableContents"/>
              <w:bidi w:val="0"/>
              <w:spacing w:before="0" w:after="1"/>
              <w:ind w:left="0" w:right="0" w:hanging="0"/>
              <w:jc w:val="left"/>
              <w:rPr/>
            </w:pPr>
            <w:r>
              <w:rPr/>
              <w:t>​</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Deficit</w:t>
            </w:r>
          </w:p>
        </w:tc>
        <w:tc>
          <w:tcPr>
            <w:tcW w:w="346" w:type="dxa"/>
            <w:tcBorders/>
            <w:vAlign w:val="center"/>
          </w:tcPr>
          <w:p>
            <w:pPr>
              <w:pStyle w:val="TableContents"/>
              <w:bidi w:val="0"/>
              <w:spacing w:before="0" w:after="1"/>
              <w:ind w:left="0" w:right="0" w:hanging="0"/>
              <w:jc w:val="left"/>
              <w:rPr/>
            </w:pPr>
            <w:r>
              <w:rPr/>
              <w:t>​</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Equity</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 xml:space="preserve">Balance, January 1, 2025 </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38,194,442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342,780</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7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52</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(309,878)</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32,958</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Unrealized loss on marketable securities</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67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Stock-based compensation</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2,965</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 </w:t>
            </w:r>
          </w:p>
        </w:tc>
        <w:tc>
          <w:tcPr>
            <w:tcW w:w="6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2,965</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Restricted stock unit vesting</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95,958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(387)</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6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(387)</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Exercise of stock options</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22,112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91</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 </w:t>
            </w:r>
          </w:p>
        </w:tc>
        <w:tc>
          <w:tcPr>
            <w:tcW w:w="6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91</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Net loss</w:t>
            </w:r>
          </w:p>
        </w:tc>
        <w:tc>
          <w:tcPr>
            <w:tcW w:w="346"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(18,755)</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(18,755)</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Balance, March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38,312,512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345,449</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7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37</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(328,633)</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16,857</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Unrealized loss on marketable securities</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671"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(21)</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(21)</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3,250</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6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3,250</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Restricted stock unit vesting</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331,041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(428)</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6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(428)</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(19,363)</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(19,363)</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Balance, June 30, 2025</w:t>
            </w:r>
          </w:p>
        </w:tc>
        <w:tc>
          <w:tcPr>
            <w:tcW w:w="346" w:type="dxa"/>
            <w:tcBorders/>
            <w:vAlign w:val="center"/>
          </w:tcPr>
          <w:p>
            <w:pPr>
              <w:pStyle w:val="TableContents"/>
              <w:bidi w:val="0"/>
              <w:spacing w:before="0" w:after="1"/>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38,643,553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348,271</w:t>
            </w:r>
          </w:p>
        </w:tc>
        <w:tc>
          <w:tcPr>
            <w:tcW w:w="346" w:type="dxa"/>
            <w:tcBorders/>
            <w:vAlign w:val="center"/>
          </w:tcPr>
          <w:p>
            <w:pPr>
              <w:pStyle w:val="TableContents"/>
              <w:bidi w:val="0"/>
              <w:spacing w:before="0" w:after="1"/>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16</w:t>
            </w:r>
          </w:p>
        </w:tc>
        <w:tc>
          <w:tcPr>
            <w:tcW w:w="346" w:type="dxa"/>
            <w:tcBorders/>
            <w:vAlign w:val="center"/>
          </w:tcPr>
          <w:p>
            <w:pPr>
              <w:pStyle w:val="TableContents"/>
              <w:bidi w:val="0"/>
              <w:spacing w:before="0" w:after="1"/>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(347,996)</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750" w:type="dxa"/>
            <w:tcBorders>
              <w:bottom w:val="double" w:sz="6" w:space="0" w:color="000000"/>
            </w:tcBorders>
            <w:tcMar>
              <w:bottom w:w="28" w:type="dxa"/>
            </w:tcMar>
            <w:vAlign w:val="center"/>
          </w:tcPr>
          <w:p>
            <w:pPr>
              <w:pStyle w:val="TableContents"/>
              <w:bidi w:val="0"/>
              <w:spacing w:before="0" w:after="1"/>
              <w:ind w:left="0" w:right="40" w:hanging="0"/>
              <w:jc w:val="right"/>
              <w:rPr>
                <w:rFonts w:ascii="Times New Roman;Times;serif" w:hAnsi="Times New Roman;Times;serif"/>
                <w:sz w:val="13"/>
              </w:rPr>
            </w:pPr>
            <w:r>
              <w:rPr>
                <w:rFonts w:ascii="Times New Roman;Times;serif" w:hAnsi="Times New Roman;Times;serif"/>
                <w:sz w:val="13"/>
              </w:rPr>
              <w:t>295</w:t>
            </w:r>
          </w:p>
        </w:tc>
      </w:tr>
    </w:tbl>
    <w:p>
      <w:pPr>
        <w:pStyle w:val="TextBody"/>
        <w:bidi w:val="0"/>
        <w:spacing w:before="0" w:after="240"/>
        <w:ind w:left="0" w:right="0" w:firstLine="36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30" w:name="_448ea462_6542_4eb1_9aa1_7bda47cb63c1"/>
      <w:bookmarkEnd w:id="630"/>
      <w:r>
        <w:rPr>
          <w:rFonts w:ascii="Times New Roman;Times;serif" w:hAnsi="Times New Roman;Times;serif"/>
          <w:b/>
          <w:sz w:val="20"/>
        </w:rPr>
        <w:t>ORCHESTRA BIOMED HOLDINGS, INC.</w:t>
      </w:r>
    </w:p>
    <w:p>
      <w:pPr>
        <w:pStyle w:val="TextBody"/>
        <w:bidi w:val="0"/>
        <w:spacing w:before="0" w:after="0"/>
        <w:ind w:left="0" w:right="0" w:hanging="0"/>
        <w:jc w:val="center"/>
        <w:rPr>
          <w:rFonts w:ascii="Times New Roman;Times;serif" w:hAnsi="Times New Roman;Times;serif"/>
          <w:b/>
          <w:sz w:val="20"/>
        </w:rPr>
      </w:pPr>
      <w:bookmarkStart w:id="631" w:name="CondensedConsolidatedStatementsofCashFlo"/>
      <w:bookmarkEnd w:id="631"/>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632" w:name="Tc_Nri0_mFEBUWife02wIYdOg_45_5"/>
      <w:bookmarkStart w:id="633" w:name="Tc_KMBH24obrUm062HiH1rbEQ_45_2"/>
      <w:bookmarkStart w:id="634" w:name="Tc_sEaAE4Tlc0KuscSe7_e7Bg_45_0"/>
      <w:bookmarkStart w:id="635" w:name="Tc_7xzg6E9xFkWj4LqK-FOiAQ_44_0"/>
      <w:bookmarkStart w:id="636" w:name="Tc_x-XylYvimEGYL1-mFU6aWQ_43_0"/>
      <w:bookmarkStart w:id="637" w:name="Tc_tojTleNBFE-t5iD9C-WgZQ_42_5"/>
      <w:bookmarkStart w:id="638" w:name="Tc_RCQdYNnRgU6EyhaeUF2-fA_42_2"/>
      <w:bookmarkStart w:id="639" w:name="Tc_GKtq7hJ3KkK0E_UouyaHWQ_42_0"/>
      <w:bookmarkStart w:id="640" w:name="Tc_k-Ru3BGXzUWHzIKlKzJP8w_41_0"/>
      <w:bookmarkStart w:id="641" w:name="Tc_GcGzF1edD0CXkDGk-mJsNg_40_0"/>
      <w:bookmarkStart w:id="642" w:name="Tc_3SziCv5QHEWM49zpE_N8VQ_38_5"/>
      <w:bookmarkStart w:id="643" w:name="Tc_Ifj2uCije067Aib6vaxMAQ_38_2"/>
      <w:bookmarkStart w:id="644" w:name="Tc_wgeowAmTzUiYdohg-3uGyw_38_0"/>
      <w:bookmarkStart w:id="645" w:name="Tc_LjMOb2ZHhEqNoWTdE1abcw_37_0"/>
      <w:bookmarkStart w:id="646" w:name="Tc_0jFbU1fe1ke5rClfRP-VnA_36_0"/>
      <w:bookmarkStart w:id="647" w:name="Tc_9T861H7ba0OGlfHMO6WXQA_35_0"/>
      <w:bookmarkStart w:id="648" w:name="Tc_sdEcG0RVx0yrT7g30AjmCA_34_0"/>
      <w:bookmarkStart w:id="649" w:name="Tc_AVeszvlwVkSnTnoBqe72QQ_33_0"/>
      <w:bookmarkStart w:id="650" w:name="Tc_KWLzWdOr40OtxjNL6L7xow_32_6"/>
      <w:bookmarkStart w:id="651" w:name="Tc_bC2YdkmRYE2GfgMttqMZWA_32_0"/>
      <w:bookmarkStart w:id="652" w:name="Tc_GC0Vd9ytwkKknQtEX-IQVw_31_6"/>
      <w:bookmarkStart w:id="653" w:name="Tc_dV2GWOWkUUWX164DVk-cDw_31_0"/>
      <w:bookmarkStart w:id="654" w:name="Tc_DICnxV7mo069q7hcIDcwIQ_30_6"/>
      <w:bookmarkStart w:id="655" w:name="Tc_355QvtMWoE2v1G1IKnLptQ_30_0"/>
      <w:bookmarkStart w:id="656" w:name="Tc_otDF_VmxoEmQrFDIxffyNQ_29_0"/>
      <w:bookmarkStart w:id="657" w:name="Tc_24u67xObUkqL9OGIlOtE3w_28_0"/>
      <w:bookmarkStart w:id="658" w:name="Tc_6i82UL0Z30yiXfVZiAZXvQ_27_6"/>
      <w:bookmarkStart w:id="659" w:name="Tc_dW17Wl80VEyOgWMbg0fqDg_27_0"/>
      <w:bookmarkStart w:id="660" w:name="Tc_h_guBbweTkm1fxr8x4fQAA_26_0"/>
      <w:bookmarkStart w:id="661" w:name="Tc_VtSRSdqK1kGeMQGHI9tLBA_25_0"/>
      <w:bookmarkStart w:id="662" w:name="Tc_ISEZZtVVB0-ODnA_dnp7xw_24_0"/>
      <w:bookmarkStart w:id="663" w:name="Tc_wf6OqVQWiEi3fR1rRSWHfQ_23_0"/>
      <w:bookmarkStart w:id="664" w:name="Tc_kaVqUxhtnU-SLVO2xGM55A_22_0"/>
      <w:bookmarkStart w:id="665" w:name="Tc_dJyM5MRxYEijE2W99MhiMA_21_3"/>
      <w:bookmarkStart w:id="666" w:name="Tc_Afp_nI_AMkyniFiP6VLbxQ_21_0"/>
      <w:bookmarkStart w:id="667" w:name="Tc_E_s_I9l8EUmmvnqUPzWmfA_20_0"/>
      <w:bookmarkStart w:id="668" w:name="Tc_tk9_SXQ4JUqUW4hJ8opDeA_19_0"/>
      <w:bookmarkStart w:id="669" w:name="Tc_FZiOiucM4kqLlv21WXF9VQ_18_0"/>
      <w:bookmarkStart w:id="670" w:name="Tc_BBv7ngsjFUq_sVnm_bmHuQ_17_0"/>
      <w:bookmarkStart w:id="671" w:name="Tc_FrBpC9lrVEKA8HCxMOap7w_16_0"/>
      <w:bookmarkStart w:id="672" w:name="Tc_751us812JkiM3Z-Dpv5c7w_15_0"/>
      <w:bookmarkStart w:id="673" w:name="Tc_qaebvjUXg02H5mDUUdjPtg_14_0"/>
      <w:bookmarkStart w:id="674" w:name="Tc_UEUwasF3SUSjpLFRF4GRhA_13_6"/>
      <w:bookmarkStart w:id="675" w:name="Tc_8ZL6lam5x0-vf_ZsAZxERw_13_0"/>
      <w:bookmarkStart w:id="676" w:name="Tc_-4oblCnip0u5PEYg25Gqag_12_0"/>
      <w:bookmarkStart w:id="677" w:name="Tc_Y1UM_F3auEGSgXBeworI1Q_11_0"/>
      <w:bookmarkStart w:id="678" w:name="Tc_hJ_0oYslI0C7bkH7Kazvkg_10_6"/>
      <w:bookmarkStart w:id="679" w:name="Tc_58o1VdQiUU6E1n305Fy4EQ_10_0"/>
      <w:bookmarkStart w:id="680" w:name="Tc_1hc0O9XhgUKf3aweR28gSg_9_6"/>
      <w:bookmarkStart w:id="681" w:name="Tc_KNFvRH_z10eN1q-SLiV9iw_9_0"/>
      <w:bookmarkStart w:id="682" w:name="Tc_DhMVrVMf3k60HW4WLQbsmw_8_6"/>
      <w:bookmarkStart w:id="683" w:name="Tc_-T-LKBIgAUqH1dKHUffsIA_8_0"/>
      <w:bookmarkStart w:id="684" w:name="Tc_Comv9QMhCUCKzc8Bsxkm8w_7_0"/>
      <w:bookmarkStart w:id="685" w:name="Tc_0FfDAx_LdEOVmi91MP91WQ_6_0"/>
      <w:bookmarkStart w:id="686" w:name="Tc_dRnUeuGEAkij1tJBdIZ4fw_5_0"/>
      <w:bookmarkStart w:id="687" w:name="Tc_vE89PX3VEE-OEeS42_dP1Q_4_5"/>
      <w:bookmarkStart w:id="688" w:name="Tc_g31HkOYsKEi44hmyQkIGBg_4_2"/>
      <w:bookmarkStart w:id="689" w:name="Tc_4zvjLZL050q97bKeSNt6Xg_4_0"/>
      <w:bookmarkStart w:id="690" w:name="Tc_af9XCKj0AE2nsdSLDZqlqQ_3_0"/>
      <w:bookmarkStart w:id="691" w:name="Tc_SamEaFFqWUOkhpPlUJUHjg_2_5"/>
      <w:bookmarkStart w:id="692" w:name="Tc_93fd2VfHN0uuqIyiooI8HA_2_2"/>
      <w:bookmarkStart w:id="693" w:name="Tc_9fa_bG1Z3ka3PlHWWxESPQ_1_2"/>
      <w:bookmarkStart w:id="694" w:name="_2a4791e1_3bc5_4f98_bab0_28b5b154cc83"/>
      <w:bookmarkStart w:id="695" w:name="Tc_Nri0_mFEBUWife02wIYdOg_45_5"/>
      <w:bookmarkStart w:id="696" w:name="Tc_KMBH24obrUm062HiH1rbEQ_45_2"/>
      <w:bookmarkStart w:id="697" w:name="Tc_sEaAE4Tlc0KuscSe7_e7Bg_45_0"/>
      <w:bookmarkStart w:id="698" w:name="Tc_7xzg6E9xFkWj4LqK-FOiAQ_44_0"/>
      <w:bookmarkStart w:id="699" w:name="Tc_x-XylYvimEGYL1-mFU6aWQ_43_0"/>
      <w:bookmarkStart w:id="700" w:name="Tc_tojTleNBFE-t5iD9C-WgZQ_42_5"/>
      <w:bookmarkStart w:id="701" w:name="Tc_RCQdYNnRgU6EyhaeUF2-fA_42_2"/>
      <w:bookmarkStart w:id="702" w:name="Tc_GKtq7hJ3KkK0E_UouyaHWQ_42_0"/>
      <w:bookmarkStart w:id="703" w:name="Tc_k-Ru3BGXzUWHzIKlKzJP8w_41_0"/>
      <w:bookmarkStart w:id="704" w:name="Tc_GcGzF1edD0CXkDGk-mJsNg_40_0"/>
      <w:bookmarkStart w:id="705" w:name="Tc_3SziCv5QHEWM49zpE_N8VQ_38_5"/>
      <w:bookmarkStart w:id="706" w:name="Tc_Ifj2uCije067Aib6vaxMAQ_38_2"/>
      <w:bookmarkStart w:id="707" w:name="Tc_wgeowAmTzUiYdohg-3uGyw_38_0"/>
      <w:bookmarkStart w:id="708" w:name="Tc_LjMOb2ZHhEqNoWTdE1abcw_37_0"/>
      <w:bookmarkStart w:id="709" w:name="Tc_0jFbU1fe1ke5rClfRP-VnA_36_0"/>
      <w:bookmarkStart w:id="710" w:name="Tc_9T861H7ba0OGlfHMO6WXQA_35_0"/>
      <w:bookmarkStart w:id="711" w:name="Tc_sdEcG0RVx0yrT7g30AjmCA_34_0"/>
      <w:bookmarkStart w:id="712" w:name="Tc_AVeszvlwVkSnTnoBqe72QQ_33_0"/>
      <w:bookmarkStart w:id="713" w:name="Tc_KWLzWdOr40OtxjNL6L7xow_32_6"/>
      <w:bookmarkStart w:id="714" w:name="Tc_bC2YdkmRYE2GfgMttqMZWA_32_0"/>
      <w:bookmarkStart w:id="715" w:name="Tc_GC0Vd9ytwkKknQtEX-IQVw_31_6"/>
      <w:bookmarkStart w:id="716" w:name="Tc_dV2GWOWkUUWX164DVk-cDw_31_0"/>
      <w:bookmarkStart w:id="717" w:name="Tc_DICnxV7mo069q7hcIDcwIQ_30_6"/>
      <w:bookmarkStart w:id="718" w:name="Tc_355QvtMWoE2v1G1IKnLptQ_30_0"/>
      <w:bookmarkStart w:id="719" w:name="Tc_otDF_VmxoEmQrFDIxffyNQ_29_0"/>
      <w:bookmarkStart w:id="720" w:name="Tc_24u67xObUkqL9OGIlOtE3w_28_0"/>
      <w:bookmarkStart w:id="721" w:name="Tc_6i82UL0Z30yiXfVZiAZXvQ_27_6"/>
      <w:bookmarkStart w:id="722" w:name="Tc_dW17Wl80VEyOgWMbg0fqDg_27_0"/>
      <w:bookmarkStart w:id="723" w:name="Tc_h_guBbweTkm1fxr8x4fQAA_26_0"/>
      <w:bookmarkStart w:id="724" w:name="Tc_VtSRSdqK1kGeMQGHI9tLBA_25_0"/>
      <w:bookmarkStart w:id="725" w:name="Tc_ISEZZtVVB0-ODnA_dnp7xw_24_0"/>
      <w:bookmarkStart w:id="726" w:name="Tc_wf6OqVQWiEi3fR1rRSWHfQ_23_0"/>
      <w:bookmarkStart w:id="727" w:name="Tc_kaVqUxhtnU-SLVO2xGM55A_22_0"/>
      <w:bookmarkStart w:id="728" w:name="Tc_dJyM5MRxYEijE2W99MhiMA_21_3"/>
      <w:bookmarkStart w:id="729" w:name="Tc_Afp_nI_AMkyniFiP6VLbxQ_21_0"/>
      <w:bookmarkStart w:id="730" w:name="Tc_E_s_I9l8EUmmvnqUPzWmfA_20_0"/>
      <w:bookmarkStart w:id="731" w:name="Tc_tk9_SXQ4JUqUW4hJ8opDeA_19_0"/>
      <w:bookmarkStart w:id="732" w:name="Tc_FZiOiucM4kqLlv21WXF9VQ_18_0"/>
      <w:bookmarkStart w:id="733" w:name="Tc_BBv7ngsjFUq_sVnm_bmHuQ_17_0"/>
      <w:bookmarkStart w:id="734" w:name="Tc_FrBpC9lrVEKA8HCxMOap7w_16_0"/>
      <w:bookmarkStart w:id="735" w:name="Tc_751us812JkiM3Z-Dpv5c7w_15_0"/>
      <w:bookmarkStart w:id="736" w:name="Tc_qaebvjUXg02H5mDUUdjPtg_14_0"/>
      <w:bookmarkStart w:id="737" w:name="Tc_UEUwasF3SUSjpLFRF4GRhA_13_6"/>
      <w:bookmarkStart w:id="738" w:name="Tc_8ZL6lam5x0-vf_ZsAZxERw_13_0"/>
      <w:bookmarkStart w:id="739" w:name="Tc_-4oblCnip0u5PEYg25Gqag_12_0"/>
      <w:bookmarkStart w:id="740" w:name="Tc_Y1UM_F3auEGSgXBeworI1Q_11_0"/>
      <w:bookmarkStart w:id="741" w:name="Tc_hJ_0oYslI0C7bkH7Kazvkg_10_6"/>
      <w:bookmarkStart w:id="742" w:name="Tc_58o1VdQiUU6E1n305Fy4EQ_10_0"/>
      <w:bookmarkStart w:id="743" w:name="Tc_1hc0O9XhgUKf3aweR28gSg_9_6"/>
      <w:bookmarkStart w:id="744" w:name="Tc_KNFvRH_z10eN1q-SLiV9iw_9_0"/>
      <w:bookmarkStart w:id="745" w:name="Tc_DhMVrVMf3k60HW4WLQbsmw_8_6"/>
      <w:bookmarkStart w:id="746" w:name="Tc_-T-LKBIgAUqH1dKHUffsIA_8_0"/>
      <w:bookmarkStart w:id="747" w:name="Tc_Comv9QMhCUCKzc8Bsxkm8w_7_0"/>
      <w:bookmarkStart w:id="748" w:name="Tc_0FfDAx_LdEOVmi91MP91WQ_6_0"/>
      <w:bookmarkStart w:id="749" w:name="Tc_dRnUeuGEAkij1tJBdIZ4fw_5_0"/>
      <w:bookmarkStart w:id="750" w:name="Tc_vE89PX3VEE-OEeS42_dP1Q_4_5"/>
      <w:bookmarkStart w:id="751" w:name="Tc_g31HkOYsKEi44hmyQkIGBg_4_2"/>
      <w:bookmarkStart w:id="752" w:name="Tc_4zvjLZL050q97bKeSNt6Xg_4_0"/>
      <w:bookmarkStart w:id="753" w:name="Tc_af9XCKj0AE2nsdSLDZqlqQ_3_0"/>
      <w:bookmarkStart w:id="754" w:name="Tc_SamEaFFqWUOkhpPlUJUHjg_2_5"/>
      <w:bookmarkStart w:id="755" w:name="Tc_93fd2VfHN0uuqIyiooI8HA_2_2"/>
      <w:bookmarkStart w:id="756" w:name="Tc_9fa_bG1Z3ka3PlHWWxESPQ_1_2"/>
      <w:bookmarkStart w:id="757" w:name="_2a4791e1_3bc5_4f98_bab0_28b5b154cc83"/>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p>
    <w:tbl>
      <w:tblPr>
        <w:tblW w:w="9601" w:type="dxa"/>
        <w:jc w:val="left"/>
        <w:tblInd w:w="0" w:type="dxa"/>
        <w:tblLayout w:type="fixed"/>
        <w:tblCellMar>
          <w:top w:w="0" w:type="dxa"/>
          <w:left w:w="0" w:type="dxa"/>
          <w:bottom w:w="0" w:type="dxa"/>
          <w:right w:w="0" w:type="dxa"/>
        </w:tblCellMar>
      </w:tblPr>
      <w:tblGrid>
        <w:gridCol w:w="7096"/>
        <w:gridCol w:w="346"/>
        <w:gridCol w:w="209"/>
        <w:gridCol w:w="769"/>
        <w:gridCol w:w="155"/>
        <w:gridCol w:w="209"/>
        <w:gridCol w:w="817"/>
      </w:tblGrid>
      <w:tr>
        <w:trPr/>
        <w:tc>
          <w:tcPr>
            <w:tcW w:w="7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505960" cy="175260"/>
                      <wp:effectExtent l="0" t="0" r="0" b="0"/>
                      <wp:wrapNone/>
                      <wp:docPr id="58" name="Frame57"/>
                      <a:graphic xmlns:a="http://schemas.openxmlformats.org/drawingml/2006/main">
                        <a:graphicData uri="http://schemas.microsoft.com/office/word/2010/wordprocessingShape">
                          <wps:wsp>
                            <wps:cNvSpPr txBox="1"/>
                            <wps:spPr>
                              <a:xfrm>
                                <a:off x="0" y="0"/>
                                <a:ext cx="450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2715" cy="175260"/>
                      <wp:effectExtent l="0" t="0" r="0" b="0"/>
                      <wp:wrapNone/>
                      <wp:docPr id="60" name="Frame59"/>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88315" cy="175260"/>
                      <wp:effectExtent l="0" t="0" r="0" b="0"/>
                      <wp:wrapNone/>
                      <wp:docPr id="61" name="Frame60"/>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98425" cy="175260"/>
                      <wp:effectExtent l="0" t="0" r="0" b="0"/>
                      <wp:wrapNone/>
                      <wp:docPr id="62" name="Frame61"/>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2715" cy="175260"/>
                      <wp:effectExtent l="0" t="0" r="0" b="0"/>
                      <wp:wrapNone/>
                      <wp:docPr id="63" name="Frame62"/>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18795" cy="175260"/>
                      <wp:effectExtent l="0" t="0" r="0" b="0"/>
                      <wp:wrapNone/>
                      <wp:docPr id="64" name="Frame63"/>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7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5" w:type="dxa"/>
            <w:tcBorders/>
            <w:vAlign w:val="center"/>
          </w:tcPr>
          <w:p>
            <w:pPr>
              <w:pStyle w:val="TableContents"/>
              <w:bidi w:val="0"/>
              <w:spacing w:before="0" w:after="1"/>
              <w:ind w:left="0" w:right="0" w:hanging="0"/>
              <w:jc w:val="left"/>
              <w:rPr/>
            </w:pPr>
            <w:r>
              <w:rPr/>
              <w:t>​</w:t>
            </w:r>
          </w:p>
        </w:tc>
        <w:tc>
          <w:tcPr>
            <w:tcW w:w="10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09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09"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right"/>
              <w:rPr/>
            </w:pPr>
            <w:r>
              <w:rPr/>
              <w:t>  ​</w:t>
            </w:r>
          </w:p>
        </w:tc>
        <w:tc>
          <w:tcPr>
            <w:tcW w:w="155" w:type="dxa"/>
            <w:tcBorders/>
            <w:shd w:fill="CCEEFF" w:val="clear"/>
            <w:vAlign w:val="center"/>
          </w:tcPr>
          <w:p>
            <w:pPr>
              <w:pStyle w:val="TableContents"/>
              <w:bidi w:val="0"/>
              <w:spacing w:before="0" w:after="1"/>
              <w:ind w:left="0" w:right="0" w:hanging="0"/>
              <w:jc w:val="left"/>
              <w:rPr/>
            </w:pPr>
            <w:r>
              <w:rPr/>
              <w:t> </w:t>
            </w:r>
          </w:p>
        </w:tc>
        <w:tc>
          <w:tcPr>
            <w:tcW w:w="209"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  ​</w:t>
            </w:r>
          </w:p>
        </w:tc>
      </w:tr>
      <w:tr>
        <w:trPr/>
        <w:tc>
          <w:tcPr>
            <w:tcW w:w="7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(44,446)</w:t>
            </w:r>
          </w:p>
        </w:tc>
        <w:tc>
          <w:tcPr>
            <w:tcW w:w="155"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(38,118)</w:t>
            </w:r>
          </w:p>
        </w:tc>
      </w:tr>
      <w:tr>
        <w:trPr/>
        <w:tc>
          <w:tcPr>
            <w:tcW w:w="7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pPr>
            <w:r>
              <w:rPr/>
              <w:t>​</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pPr>
            <w:r>
              <w:rPr/>
              <w:t>  ​</w:t>
            </w:r>
          </w:p>
        </w:tc>
      </w:tr>
      <w:tr>
        <w:trPr/>
        <w:tc>
          <w:tcPr>
            <w:tcW w:w="7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w:t>
            </w:r>
          </w:p>
        </w:tc>
        <w:tc>
          <w:tcPr>
            <w:tcW w:w="155"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w:t>
            </w:r>
          </w:p>
        </w:tc>
      </w:tr>
      <w:tr>
        <w:trPr/>
        <w:tc>
          <w:tcPr>
            <w:tcW w:w="7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5,356</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6,215</w:t>
            </w:r>
          </w:p>
        </w:tc>
      </w:tr>
      <w:tr>
        <w:trPr/>
        <w:tc>
          <w:tcPr>
            <w:tcW w:w="7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interest expense on liability related to the royalty purchase agreement</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3,111</w:t>
            </w:r>
          </w:p>
        </w:tc>
        <w:tc>
          <w:tcPr>
            <w:tcW w:w="155"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w:t>
            </w:r>
          </w:p>
        </w:tc>
      </w:tr>
      <w:tr>
        <w:trPr/>
        <w:tc>
          <w:tcPr>
            <w:tcW w:w="7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interest expense on liability related to the note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442</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r>
      <w:tr>
        <w:trPr/>
        <w:tc>
          <w:tcPr>
            <w:tcW w:w="7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Gain on sale of strategic investments</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(2,286)</w:t>
            </w:r>
          </w:p>
        </w:tc>
        <w:tc>
          <w:tcPr>
            <w:tcW w:w="155"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w:t>
            </w:r>
          </w:p>
        </w:tc>
      </w:tr>
      <w:tr>
        <w:trPr/>
        <w:tc>
          <w:tcPr>
            <w:tcW w:w="7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Accretion and interest related to marketable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(476)</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w:t>
            </w:r>
          </w:p>
        </w:tc>
      </w:tr>
      <w:tr>
        <w:trPr/>
        <w:tc>
          <w:tcPr>
            <w:tcW w:w="7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lease expense</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325</w:t>
            </w:r>
          </w:p>
        </w:tc>
        <w:tc>
          <w:tcPr>
            <w:tcW w:w="155"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297</w:t>
            </w:r>
          </w:p>
        </w:tc>
      </w:tr>
      <w:tr>
        <w:trPr/>
        <w:tc>
          <w:tcPr>
            <w:tcW w:w="7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the fair value of derivative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r>
      <w:tr>
        <w:trPr/>
        <w:tc>
          <w:tcPr>
            <w:tcW w:w="7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deferred financing fees</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w:t>
            </w:r>
          </w:p>
        </w:tc>
        <w:tc>
          <w:tcPr>
            <w:tcW w:w="155"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w:t>
            </w:r>
          </w:p>
        </w:tc>
      </w:tr>
      <w:tr>
        <w:trPr/>
        <w:tc>
          <w:tcPr>
            <w:tcW w:w="7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left"/>
              <w:rPr/>
            </w:pPr>
            <w:r>
              <w:rPr/>
              <w:t>​</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left"/>
              <w:rPr/>
            </w:pPr>
            <w:r>
              <w:rPr/>
              <w:t>​</w:t>
            </w:r>
          </w:p>
        </w:tc>
      </w:tr>
      <w:tr>
        <w:trPr/>
        <w:tc>
          <w:tcPr>
            <w:tcW w:w="7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w:t>
            </w:r>
          </w:p>
        </w:tc>
        <w:tc>
          <w:tcPr>
            <w:tcW w:w="155"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w:t>
            </w:r>
          </w:p>
        </w:tc>
      </w:tr>
      <w:tr>
        <w:trPr/>
        <w:tc>
          <w:tcPr>
            <w:tcW w:w="7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Inventory</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w:t>
            </w:r>
          </w:p>
        </w:tc>
      </w:tr>
      <w:tr>
        <w:trPr/>
        <w:tc>
          <w:tcPr>
            <w:tcW w:w="7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assets</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w:t>
            </w:r>
          </w:p>
        </w:tc>
        <w:tc>
          <w:tcPr>
            <w:tcW w:w="155"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w:t>
            </w:r>
          </w:p>
        </w:tc>
      </w:tr>
      <w:tr>
        <w:trPr/>
        <w:tc>
          <w:tcPr>
            <w:tcW w:w="7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 accrued expenses and other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(3,311)</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888</w:t>
            </w:r>
          </w:p>
        </w:tc>
      </w:tr>
      <w:tr>
        <w:trPr/>
        <w:tc>
          <w:tcPr>
            <w:tcW w:w="7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 – current and non-current</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w:t>
            </w:r>
          </w:p>
        </w:tc>
        <w:tc>
          <w:tcPr>
            <w:tcW w:w="155"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w:t>
            </w:r>
          </w:p>
        </w:tc>
      </w:tr>
      <w:tr>
        <w:trPr/>
        <w:tc>
          <w:tcPr>
            <w:tcW w:w="7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(1,399)</w:t>
            </w:r>
          </w:p>
        </w:tc>
      </w:tr>
      <w:tr>
        <w:trPr/>
        <w:tc>
          <w:tcPr>
            <w:tcW w:w="7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346"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(41,500)</w:t>
            </w:r>
          </w:p>
        </w:tc>
        <w:tc>
          <w:tcPr>
            <w:tcW w:w="155"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(32,143)</w:t>
            </w:r>
          </w:p>
        </w:tc>
      </w:tr>
      <w:tr>
        <w:trPr/>
        <w:tc>
          <w:tcPr>
            <w:tcW w:w="709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pPr>
            <w:r>
              <w:rPr/>
              <w:t>​</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pPr>
            <w:r>
              <w:rPr/>
              <w:t>  ​</w:t>
            </w:r>
          </w:p>
        </w:tc>
      </w:tr>
      <w:tr>
        <w:trPr/>
        <w:tc>
          <w:tcPr>
            <w:tcW w:w="7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(438)</w:t>
            </w:r>
          </w:p>
        </w:tc>
        <w:tc>
          <w:tcPr>
            <w:tcW w:w="155"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w:t>
            </w:r>
          </w:p>
        </w:tc>
      </w:tr>
      <w:tr>
        <w:trPr/>
        <w:tc>
          <w:tcPr>
            <w:tcW w:w="7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Sales of marketable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38,791</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32,403</w:t>
            </w:r>
          </w:p>
        </w:tc>
      </w:tr>
      <w:tr>
        <w:trPr/>
        <w:tc>
          <w:tcPr>
            <w:tcW w:w="7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Purchases of marketable securities</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(56,125)</w:t>
            </w:r>
          </w:p>
        </w:tc>
        <w:tc>
          <w:tcPr>
            <w:tcW w:w="155"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(2,902)</w:t>
            </w:r>
          </w:p>
        </w:tc>
      </w:tr>
      <w:tr>
        <w:trPr/>
        <w:tc>
          <w:tcPr>
            <w:tcW w:w="7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Sale of strategic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4,781</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provided by investing activities</w:t>
            </w:r>
          </w:p>
        </w:tc>
        <w:tc>
          <w:tcPr>
            <w:tcW w:w="346"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(12,991)</w:t>
            </w:r>
          </w:p>
        </w:tc>
        <w:tc>
          <w:tcPr>
            <w:tcW w:w="155"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29,355</w:t>
            </w:r>
          </w:p>
        </w:tc>
      </w:tr>
      <w:tr>
        <w:trPr/>
        <w:tc>
          <w:tcPr>
            <w:tcW w:w="709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pPr>
            <w:r>
              <w:rPr/>
              <w:t>  ​</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pPr>
            <w:r>
              <w:rPr/>
              <w:t>  ​</w:t>
            </w:r>
          </w:p>
        </w:tc>
      </w:tr>
      <w:tr>
        <w:trPr/>
        <w:tc>
          <w:tcPr>
            <w:tcW w:w="7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the royalty purchase agreement</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15,000</w:t>
            </w:r>
          </w:p>
        </w:tc>
        <w:tc>
          <w:tcPr>
            <w:tcW w:w="155"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w:t>
            </w:r>
          </w:p>
        </w:tc>
      </w:tr>
      <w:tr>
        <w:trPr/>
        <w:tc>
          <w:tcPr>
            <w:tcW w:w="7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Medtronic term loan</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20,000</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r>
      <w:tr>
        <w:trPr/>
        <w:tc>
          <w:tcPr>
            <w:tcW w:w="7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At-The-Market offering, net of issuance costs</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5,855</w:t>
            </w:r>
          </w:p>
        </w:tc>
        <w:tc>
          <w:tcPr>
            <w:tcW w:w="155"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w:t>
            </w:r>
          </w:p>
        </w:tc>
      </w:tr>
      <w:tr>
        <w:trPr/>
        <w:tc>
          <w:tcPr>
            <w:tcW w:w="7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exercise of stock options</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w:t>
            </w:r>
          </w:p>
        </w:tc>
      </w:tr>
      <w:tr>
        <w:trPr/>
        <w:tc>
          <w:tcPr>
            <w:tcW w:w="7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Restricted stock units withheld for tax </w:t>
            </w:r>
          </w:p>
        </w:tc>
        <w:tc>
          <w:tcPr>
            <w:tcW w:w="346"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(616)</w:t>
            </w:r>
          </w:p>
        </w:tc>
        <w:tc>
          <w:tcPr>
            <w:tcW w:w="155"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(815)</w:t>
            </w:r>
          </w:p>
        </w:tc>
      </w:tr>
      <w:tr>
        <w:trPr/>
        <w:tc>
          <w:tcPr>
            <w:tcW w:w="7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by (used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40,273</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(724)</w:t>
            </w:r>
          </w:p>
        </w:tc>
      </w:tr>
      <w:tr>
        <w:trPr/>
        <w:tc>
          <w:tcPr>
            <w:tcW w:w="70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decrease in cash and cash equivalents</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(14,218)</w:t>
            </w:r>
          </w:p>
        </w:tc>
        <w:tc>
          <w:tcPr>
            <w:tcW w:w="155"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(3,512)</w:t>
            </w:r>
          </w:p>
        </w:tc>
      </w:tr>
      <w:tr>
        <w:trPr/>
        <w:tc>
          <w:tcPr>
            <w:tcW w:w="709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and cash equivalents, beginning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34,690</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22,261</w:t>
            </w:r>
          </w:p>
        </w:tc>
      </w:tr>
      <w:tr>
        <w:trPr/>
        <w:tc>
          <w:tcPr>
            <w:tcW w:w="70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and cash equivalents, end of the period</w:t>
            </w:r>
          </w:p>
        </w:tc>
        <w:tc>
          <w:tcPr>
            <w:tcW w:w="346" w:type="dxa"/>
            <w:tcBorders/>
            <w:vAlign w:val="center"/>
          </w:tcPr>
          <w:p>
            <w:pPr>
              <w:pStyle w:val="TableContents"/>
              <w:bidi w:val="0"/>
              <w:spacing w:before="0" w:after="1"/>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20,472</w:t>
            </w:r>
          </w:p>
        </w:tc>
        <w:tc>
          <w:tcPr>
            <w:tcW w:w="155" w:type="dxa"/>
            <w:tcBorders/>
            <w:vAlign w:val="center"/>
          </w:tcPr>
          <w:p>
            <w:pPr>
              <w:pStyle w:val="TableContents"/>
              <w:bidi w:val="0"/>
              <w:spacing w:before="0" w:after="1"/>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18,749</w:t>
            </w:r>
          </w:p>
        </w:tc>
      </w:tr>
      <w:tr>
        <w:trPr/>
        <w:tc>
          <w:tcPr>
            <w:tcW w:w="70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right"/>
              <w:rPr/>
            </w:pPr>
            <w:r>
              <w:rPr/>
              <w:t>​</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r>
      <w:tr>
        <w:trPr/>
        <w:tc>
          <w:tcPr>
            <w:tcW w:w="70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Supplemental Disclosures of Cash Flow Information</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pPr>
            <w:r>
              <w:rPr/>
              <w:t>  ​</w:t>
            </w:r>
          </w:p>
        </w:tc>
        <w:tc>
          <w:tcPr>
            <w:tcW w:w="155"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pPr>
            <w:r>
              <w:rPr/>
              <w:t>  ​</w:t>
            </w:r>
          </w:p>
        </w:tc>
      </w:tr>
      <w:tr>
        <w:trPr/>
        <w:tc>
          <w:tcPr>
            <w:tcW w:w="709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paid during the six months ended June 30:</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pPr>
            <w:r>
              <w:rPr/>
              <w:t>  ​</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pPr>
            <w:r>
              <w:rPr/>
              <w:t>  ​</w:t>
            </w:r>
          </w:p>
        </w:tc>
      </w:tr>
      <w:tr>
        <w:trPr/>
        <w:tc>
          <w:tcPr>
            <w:tcW w:w="7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720</w:t>
            </w:r>
          </w:p>
        </w:tc>
        <w:tc>
          <w:tcPr>
            <w:tcW w:w="155"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722</w:t>
            </w:r>
          </w:p>
        </w:tc>
      </w:tr>
      <w:tr>
        <w:trPr/>
        <w:tc>
          <w:tcPr>
            <w:tcW w:w="709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Supplemental disclosure of noncash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right"/>
              <w:rPr/>
            </w:pPr>
            <w:r>
              <w:rPr/>
              <w:t>​</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r>
      <w:tr>
        <w:trPr/>
        <w:tc>
          <w:tcPr>
            <w:tcW w:w="70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Non-cash investing activities:</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right"/>
              <w:rPr/>
            </w:pPr>
            <w:r>
              <w:rPr/>
              <w:t>​</w:t>
            </w:r>
          </w:p>
        </w:tc>
        <w:tc>
          <w:tcPr>
            <w:tcW w:w="155"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w:t>
            </w:r>
          </w:p>
        </w:tc>
      </w:tr>
      <w:tr>
        <w:trPr/>
        <w:tc>
          <w:tcPr>
            <w:tcW w:w="7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Purchases of Property &amp; equipment within accounts payable, accrued expenses and other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23</w:t>
            </w:r>
          </w:p>
        </w:tc>
      </w:tr>
    </w:tbl>
    <w:p>
      <w:pPr>
        <w:pStyle w:val="TextBody"/>
        <w:bidi w:val="0"/>
        <w:spacing w:before="0" w:after="240"/>
        <w:ind w:left="0" w:right="0" w:firstLine="360"/>
        <w:jc w:val="center"/>
        <w:rPr/>
      </w:pPr>
      <w:r>
        <w:rPr/>
        <w:t>​</w:t>
      </w:r>
    </w:p>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0"/>
        <w:ind w:left="0" w:right="0" w:hanging="0"/>
        <w:jc w:val="center"/>
        <w:rPr>
          <w:rFonts w:ascii="Times New Roman;Times;serif" w:hAnsi="Times New Roman;Times;serif"/>
          <w:b/>
          <w:sz w:val="20"/>
        </w:rPr>
      </w:pPr>
      <w:bookmarkStart w:id="758" w:name="_c89a1a84_744a_42ea_9405_d158eb915b11"/>
      <w:bookmarkEnd w:id="758"/>
      <w:r>
        <w:rPr>
          <w:rFonts w:ascii="Times New Roman;Times;serif" w:hAnsi="Times New Roman;Times;serif"/>
          <w:b/>
          <w:sz w:val="20"/>
        </w:rPr>
        <w:t>ORCHESTRA BIOMED HOLDINGS, INC.</w:t>
      </w:r>
    </w:p>
    <w:p>
      <w:pPr>
        <w:pStyle w:val="TextBody"/>
        <w:bidi w:val="0"/>
        <w:spacing w:before="0" w:after="0"/>
        <w:ind w:left="0" w:right="0" w:hanging="0"/>
        <w:jc w:val="center"/>
        <w:rPr>
          <w:rFonts w:ascii="Times New Roman;Times;serif" w:hAnsi="Times New Roman;Times;serif"/>
          <w:b/>
          <w:sz w:val="20"/>
        </w:rPr>
      </w:pPr>
      <w:bookmarkStart w:id="759" w:name="NOTESTOCONDENSEDCONSOLIDATEDFINANCIALSTA"/>
      <w:bookmarkEnd w:id="759"/>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 Organization and Basis of Presentation</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Orchestra BioMed Holdings, Inc. (collectively, with its subsidiaries, “Orchestra” or the “Company”) is a biomedical innovation company accelerating high-impact technologies to patients through risk-reward sharing partnerships with leading medical device companies. The Company’s partnership-enabled business model focuses on forging strategic collaborations with leading medical device companies to drive successful global commercialization of products it develops. The Company’s two flagship product candidates are Atrioventricular Interval Modulation Therapy (“AVIM Therapy”) for the treatment of hypertension (“HTN”), the leading risk factor for death worldwide, and Virtue® Sirolimus AngioInfusion™ Balloon (“Virtue SAB”) for the treatment of atherosclerotic artery disease, the leading cause of mortality worldwide.</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Company was incorporated in the Cayman Islands in 2020, as a special purpose acquisition company under the name Health Sciences Acquisitions Corporation 2 (“HSAC2”). On January 26, 2023, Orchestra BioMed, Inc., the Company’s wholly owned subsidiary, and HSAC2 consummated a business combination pursuant to which, among other things, Orchestra BioMed, Inc. became a wholly owned subsidiary of HSAC2 and HSAC2 changed its name to Orchestra BioMed Holdings, Inc. (the “Business Combination”). HSAC2 Holdings, LLC (the “Sponsor”) was the sponsor of HSAC2 prior to the Business Combination.</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Orchestra BioMed, Inc. was incorporated in Delaware in January 2017 and was formed to acquire operating and other assets as well as to raise capital conducted through private placements. In May 2018, Orchestra BioMed, Inc. concurrently completed its formation mergers with Caliber Therapeutics, Inc., a Delaware corporation, BackBeat Medical, Inc., a Delaware Corporation, and FreeHold Surgical, Inc., a Delaware corporation. Orchestra BioMed, Inc. completed the conversions of BackBeat Medical, Inc. to BackBeat Medical, LLC, a Delaware limited liability company (“BackBeat”), of FreeHold Surgical, Inc. to FreeHold Surgical, LLC, a Delaware limited liability company (“FreeHold”), and of Caliber Therapeutics, Inc. to Caliber Therapeutics, LLC, a Delaware limited liability company (“Caliber”) in 2019.</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Caliber</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Caliber Therapeutics, Inc. was incorporated in Delaware in October 2005 and began development of its lead product candidate Virtue SAB in 2008. Virtue SAB is a patented drug/device combination product candidate for the treatment of artery disease that delivers a proprietary extended release formulation of sirolimus called SirolimusEFR™ to the vessel wall during balloon angioplasty without any coating on the balloon surface or the need to leave a permanent implant such as a stent in the artery.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BackBeat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BackBeat Medical, Inc. was incorporated in Delaware in January 2010 and began development of its lead product candidate AVIM Therapy that same year. AVIM Therapy is a patented, cardiac pacing therapy for HTN that can be delivered as firmware on a standard dual-chamber pacemaker and is designed to immediately, substantially and sustainably lower blood pressure while simultaneously modulating the autonomic nervous system. Refer to Note 3 – “</w:t>
      </w:r>
      <w:r>
        <w:rPr>
          <w:rFonts w:ascii="Times New Roman;Times;serif" w:hAnsi="Times New Roman;Times;serif"/>
          <w:i/>
          <w:color w:val="231F20"/>
          <w:spacing w:val="-10"/>
          <w:sz w:val="20"/>
        </w:rPr>
        <w:t>Medtronic Agreement”</w:t>
      </w:r>
      <w:r>
        <w:rPr>
          <w:rFonts w:ascii="Times New Roman;Times;serif" w:hAnsi="Times New Roman;Times;serif"/>
          <w:color w:val="231F20"/>
          <w:spacing w:val="-10"/>
          <w:sz w:val="20"/>
        </w:rPr>
        <w:t xml:space="preserve"> for details regarding the Exclusive License and Collaboration Agreement, dated as of June 30, 2022, by and among, Orchestra BioMed, Inc., BackBeat and Medtronic, Inc. (an affiliate of Medtronic plc) (the “Medtronic Agreement”)</w:t>
      </w:r>
      <w:r>
        <w:rPr>
          <w:rFonts w:ascii="Times New Roman;Times;serif" w:hAnsi="Times New Roman;Times;serif"/>
          <w:sz w:val="20"/>
        </w:rPr>
        <w:t xml:space="preserve"> </w:t>
      </w:r>
      <w:r>
        <w:rPr>
          <w:rFonts w:ascii="Times New Roman;Times;serif" w:hAnsi="Times New Roman;Times;serif"/>
          <w:color w:val="231F20"/>
          <w:spacing w:val="-10"/>
          <w:sz w:val="20"/>
        </w:rPr>
        <w:t>and as amended pursuant to the Medtronic Agreement Amendment (as defined below), the “Amended Medtronic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FreeHold</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FreeHold Surgical, Inc. was incorporated in Delaware in May 2010 and began development of its hands-free, intracorporeal retractor device for minimally-invasive surgery in 2012. FreeHold is engaged in the development, sales and marketing of its retractor products that provide optimized visualization and total surgeon control during laparoscopic and robotic procedures.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Basis of Presentation and Liquidity</w:t>
      </w:r>
    </w:p>
    <w:p>
      <w:pPr>
        <w:pStyle w:val="TextBody"/>
        <w:shd w:fill="FFFFFF" w:val="clear"/>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accompanying unaudited interim condensed consolidated financial statements have been prepared pursuant to the rules and regulations of the U.S. Securities and Exchange Commission (“SEC”) for interim financial reporting. These condensed statements are unaudited and, in the opinion of management, include all adjustments (consisting of normal recurring adjustments and accruals) necessary to fairly present the results of the interim periods. The condensed consolidated balance sheet at December 31, 2025 has been derived from the audited financial statements at that date. Operating results and cash flows for the six months ended June 30, 2026 are not necessarily indicative of the results that may be expected for the fiscal year ending December 31, 2026 or any other future period. Certain information and footnote disclosures normally included in annual financial statements prepared in accordance with accounting principles generally accepted in the United States of America (“U.S. GAAP”) have been omitted in accordance with the rules and regulations for interim reporting of the SEC. These unaudited interim condensed consolidated financial statements should be read in conjunction with the audited consolidated financial statements included in the Company’s Annual Report on Form 10-K for the year ended December 31, 2025 filed with the SEC on March 12, 2026 together with the related notes thereto.</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Company has a limited operating history and the sales and income potential of its businesses and markets are unproven. As of June 30, 2026, the Company had an accumulated deficit of $407.0 million and has experienced net losses each year since its inception. The Company expects to incur substantial operating losses in future periods and will require additional capital as it seeks to advance its products to commercialization. The Company is subject to a number of risks and uncertainties similar to those of other companies of the same size within the biomedical device industry, such as uncertainty of clinical trial outcomes, uncertainty of additional funding, and history of operating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 xml:space="preserve">The Company follows the provisions of Financial Accounting Standards Board (“FASB”) Accounting Standards Codification (“ASC”) Topic 205-40, </w:t>
      </w:r>
      <w:r>
        <w:rPr>
          <w:rFonts w:ascii="Times New Roman;Times;serif" w:hAnsi="Times New Roman;Times;serif"/>
          <w:i/>
          <w:color w:val="231F20"/>
          <w:spacing w:val="-10"/>
          <w:sz w:val="20"/>
        </w:rPr>
        <w:t>Presentation of Financial Statements — Going Concern</w:t>
      </w:r>
      <w:r>
        <w:rPr>
          <w:rFonts w:ascii="Times New Roman;Times;serif" w:hAnsi="Times New Roman;Times;serif"/>
          <w:color w:val="231F20"/>
          <w:spacing w:val="-10"/>
          <w:sz w:val="20"/>
        </w:rPr>
        <w:t>, which requires management to assess the Company’s ability to continue as a going concern within one year after the date the financial statements are issued.</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Based on the available balance of cash and cash equivalents and marketable securities as of June 30, 2026, management has concluded that sufficient capital is available to fund its operations and meet cash requirements through the one-year period subsequent to the issuance date of these financial statements. Management may consider plans to raise capital through the one-year period subsequent to the issuance date of these financial statements through issuance of equity securities, debt securities, and/or additional development and commercialization partnerships for other products within the Company’s development pipeline. The source, timing and availability of any future financing will depend principally upon market conditions and on the progress of the Company’s research and development programs.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Use of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The preparation of the condensed consolidated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 Areas where significant estimates exist include, but are not limited to, research and development costs incurred, effective interest expense related to the Royalty Purchase Agreement (as defined below) (see Note 13 – “</w:t>
      </w:r>
      <w:r>
        <w:rPr>
          <w:rFonts w:ascii="Times New Roman;Times;serif" w:hAnsi="Times New Roman;Times;serif"/>
          <w:i/>
          <w:color w:val="231F20"/>
          <w:spacing w:val="-10"/>
          <w:sz w:val="20"/>
        </w:rPr>
        <w:t>Royalty Purchase Agreement”</w:t>
      </w:r>
      <w:r>
        <w:rPr>
          <w:rFonts w:ascii="Times New Roman;Times;serif" w:hAnsi="Times New Roman;Times;serif"/>
          <w:color w:val="231F20"/>
          <w:spacing w:val="-10"/>
          <w:sz w:val="20"/>
        </w:rPr>
        <w:t xml:space="preserve"> for additional information), effective interest expense related to the Medtronic Loan Agreement (as defined below) (see Note 14 – “</w:t>
      </w:r>
      <w:r>
        <w:rPr>
          <w:rFonts w:ascii="Times New Roman;Times;serif" w:hAnsi="Times New Roman;Times;serif"/>
          <w:i/>
          <w:color w:val="231F20"/>
          <w:spacing w:val="-10"/>
          <w:sz w:val="20"/>
        </w:rPr>
        <w:t>Debt Financing”</w:t>
      </w:r>
      <w:r>
        <w:rPr>
          <w:rFonts w:ascii="Times New Roman;Times;serif" w:hAnsi="Times New Roman;Times;serif"/>
          <w:color w:val="231F20"/>
          <w:spacing w:val="-10"/>
          <w:sz w:val="20"/>
        </w:rPr>
        <w:t xml:space="preserve"> for additional information), and the fair value of the derivative liability related to the Company’s Series A Preferred Stock, $0.0001 par value per share (the “Series A Preferred Stock”) (see Note 8 – “</w:t>
      </w:r>
      <w:r>
        <w:rPr>
          <w:rFonts w:ascii="Times New Roman;Times;serif" w:hAnsi="Times New Roman;Times;serif"/>
          <w:i/>
          <w:color w:val="231F20"/>
          <w:spacing w:val="-10"/>
          <w:sz w:val="20"/>
        </w:rPr>
        <w:t>Derivative Liability”</w:t>
      </w:r>
      <w:r>
        <w:rPr>
          <w:rFonts w:ascii="Times New Roman;Times;serif" w:hAnsi="Times New Roman;Times;serif"/>
          <w:color w:val="231F20"/>
          <w:spacing w:val="-10"/>
          <w:sz w:val="20"/>
        </w:rPr>
        <w:t xml:space="preserve"> for additional information).</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Cash and Cash Equivalents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Cash and cash equivalents are held in banks or in custodial accounts with banks. Cash equivalents are defined as all liquid investments and money market funds with maturity from date of purchase of 90 days or less that are readily convertible into cash.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Marketable Securities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Company accounts for its marketable securities with remaining maturities of less than one year, or where its intent is to use the investments to fund current operations or to make them available for current operations, as short-term investments. These investments represent debt investments in corporate or government securities that are designated as available-for-sale and are carried at fair value, with unrealized gains and losses reported in stockholders’ equity as accumulated other comprehensive (loss) income. The disclosed fair value related to the Company’s investments is based on market prices from a variety of industry standard data providers and generally represent quoted prices for similar assets in active markets or have been derived from observable market data.</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Strategic Investments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Management had made investments in certain companies and assessed whether the Company exerted significant influence over its strategic investments. The Company considered the nature and magnitude of its investment, any voting and protective rights it held, any participation in the governance of the other company, and other relevant factors such as the presence of a collaboration or other business relationships. To date, the Company has concluded that it did not have the ability to exercise significant influence over its strategic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As of December 31, 2025, the Company’s strategic investments consisted of preferred shares of Vivasure Medical Limited (“Vivasure”), a privately-held company and related party. The investments in Vivasure did not have readily determinable fair values and were recorded at cost, less any impairment, plus or minus changes resulting from observable price changes in orderly transactions for identical or similar investments of the same issuer. Additionally, as the investments in Vivasure were not readily marketable, the Company categorized the investments as non-current assets. As of December 31, 2025, the carrying value of the investments in Vivasure was $2.5 million. On January 9, 2026, Haemonetics Corporation, a global medical technology company focused on delivering innovative solutions designed to improve patient outcomes, announced its acquisition of Vivasure. As a result, the Company recognized a gain of $2.3 million on the sale of strategic investments during the six months ended June 30, 2026 (see Note 5 – “</w:t>
      </w:r>
      <w:r>
        <w:rPr>
          <w:rFonts w:ascii="Times New Roman;Times;serif" w:hAnsi="Times New Roman;Times;serif"/>
          <w:i/>
          <w:color w:val="231F20"/>
          <w:spacing w:val="-10"/>
          <w:sz w:val="20"/>
        </w:rPr>
        <w:t>Marketable Securities and Strategic Investments”</w:t>
      </w:r>
      <w:r>
        <w:rPr>
          <w:rFonts w:ascii="Times New Roman;Times;serif" w:hAnsi="Times New Roman;Times;serif"/>
          <w:color w:val="231F20"/>
          <w:spacing w:val="-10"/>
          <w:sz w:val="20"/>
        </w:rPr>
        <w:t xml:space="preserve"> for additional information).</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Fair Value of Financial Instruments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 xml:space="preserve">The Company applies ASC 820, </w:t>
      </w:r>
      <w:r>
        <w:rPr>
          <w:rFonts w:ascii="Times New Roman;Times;serif" w:hAnsi="Times New Roman;Times;serif"/>
          <w:i/>
          <w:color w:val="231F20"/>
          <w:spacing w:val="-10"/>
          <w:sz w:val="20"/>
        </w:rPr>
        <w:t>Fair Value Measurement</w:t>
      </w:r>
      <w:r>
        <w:rPr>
          <w:rFonts w:ascii="Times New Roman;Times;serif" w:hAnsi="Times New Roman;Times;serif"/>
          <w:color w:val="231F20"/>
          <w:spacing w:val="-10"/>
          <w:sz w:val="20"/>
        </w:rPr>
        <w:t xml:space="preserve">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The carrying value of the Company’s cash and cash equivalents, accounts receivable, prepaid expense, accounts payable, and accrued expenses approximate fair value because of the short-term maturity of these financial instruments. In addition, the Company records its investment in marketable securities at fair value. See Note 4 – “</w:t>
      </w:r>
      <w:r>
        <w:rPr>
          <w:rFonts w:ascii="Times New Roman;Times;serif" w:hAnsi="Times New Roman;Times;serif"/>
          <w:i/>
          <w:color w:val="231F20"/>
          <w:spacing w:val="-10"/>
          <w:sz w:val="20"/>
        </w:rPr>
        <w:t>Financial Instruments and Fair Value Measurements”</w:t>
      </w:r>
      <w:r>
        <w:rPr>
          <w:rFonts w:ascii="Times New Roman;Times;serif" w:hAnsi="Times New Roman;Times;serif"/>
          <w:color w:val="231F20"/>
          <w:spacing w:val="-10"/>
          <w:sz w:val="20"/>
        </w:rPr>
        <w:t xml:space="preserve"> for additional information regarding fair value measurements. For additional information on the fair value measurements performed related to the derivative liability, see Note 8 – “</w:t>
      </w:r>
      <w:r>
        <w:rPr>
          <w:rFonts w:ascii="Times New Roman;Times;serif" w:hAnsi="Times New Roman;Times;serif"/>
          <w:i/>
          <w:color w:val="231F20"/>
          <w:spacing w:val="-10"/>
          <w:sz w:val="20"/>
        </w:rPr>
        <w:t>Derivative Liability.”</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valuation hierarchy is composed of three levels. The classification within the valuation hierarchy is based on the lowest level of input that is significant to the fair value measurement. The levels within the valuation hierarchy are described below:</w:t>
      </w:r>
    </w:p>
    <w:p>
      <w:pPr>
        <w:pStyle w:val="TextBody"/>
        <w:pBdr/>
        <w:bidi w:val="0"/>
        <w:spacing w:before="0" w:after="240"/>
        <w:ind w:left="360" w:right="0" w:hanging="1008"/>
        <w:jc w:val="both"/>
        <w:rPr>
          <w:rFonts w:ascii="Times New Roman;Times;serif" w:hAnsi="Times New Roman;Times;serif"/>
          <w:sz w:val="20"/>
        </w:rPr>
      </w:pPr>
      <w:r>
        <w:rPr>
          <w:rFonts w:ascii="Times New Roman;Times;serif" w:hAnsi="Times New Roman;Times;serif"/>
          <w:color w:val="231F20"/>
          <w:spacing w:val="-10"/>
          <w:sz w:val="20"/>
        </w:rPr>
        <w:t>Level 1</w:t>
      </w:r>
      <w:r>
        <w:rPr>
          <w:rFonts w:ascii="Times New Roman;Times;serif" w:hAnsi="Times New Roman;Times;serif"/>
          <w:sz w:val="20"/>
        </w:rPr>
        <w:t>  —  </w:t>
      </w:r>
      <w:r>
        <w:rPr>
          <w:rFonts w:ascii="Times New Roman;Times;serif" w:hAnsi="Times New Roman;Times;serif"/>
          <w:color w:val="231F20"/>
          <w:spacing w:val="-10"/>
          <w:sz w:val="20"/>
        </w:rPr>
        <w:t>Assets and liabilities with unadjusted, quoted prices listed on active market exchanges. Inputs to the fair value measurement are observable inputs, such as quoted prices in active markets for identical assets or liabilities.</w:t>
      </w:r>
    </w:p>
    <w:p>
      <w:pPr>
        <w:pStyle w:val="TextBody"/>
        <w:pBdr/>
        <w:bidi w:val="0"/>
        <w:spacing w:before="0" w:after="240"/>
        <w:ind w:left="360" w:right="0" w:hanging="1008"/>
        <w:jc w:val="both"/>
        <w:rPr>
          <w:rFonts w:ascii="Times New Roman;Times;serif" w:hAnsi="Times New Roman;Times;serif"/>
          <w:sz w:val="20"/>
        </w:rPr>
      </w:pPr>
      <w:r>
        <w:rPr>
          <w:rFonts w:ascii="Times New Roman;Times;serif" w:hAnsi="Times New Roman;Times;serif"/>
          <w:color w:val="231F20"/>
          <w:spacing w:val="-10"/>
          <w:sz w:val="20"/>
        </w:rPr>
        <w:t>Level 2</w:t>
      </w:r>
      <w:r>
        <w:rPr>
          <w:rFonts w:ascii="Times New Roman;Times;serif" w:hAnsi="Times New Roman;Times;serif"/>
          <w:sz w:val="20"/>
        </w:rPr>
        <w:t>  —  </w:t>
      </w:r>
      <w:r>
        <w:rPr>
          <w:rFonts w:ascii="Times New Roman;Times;serif" w:hAnsi="Times New Roman;Times;serif"/>
          <w:color w:val="231F20"/>
          <w:spacing w:val="-10"/>
          <w:sz w:val="20"/>
        </w:rPr>
        <w:t>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360" w:right="0" w:hanging="1008"/>
        <w:jc w:val="both"/>
        <w:rPr>
          <w:rFonts w:ascii="Times New Roman;Times;serif" w:hAnsi="Times New Roman;Times;serif"/>
          <w:sz w:val="20"/>
        </w:rPr>
      </w:pPr>
      <w:bookmarkStart w:id="760" w:name="Tc_scu9vnayb0uRz5n9nyKZng_4_0"/>
      <w:bookmarkStart w:id="761" w:name="Tc_6DryOx6LZkyd3_jlM4Sh1g_3_2"/>
      <w:bookmarkStart w:id="762" w:name="Tc_2QHgE1q9-EmdFCjekAzQFg_3_0"/>
      <w:bookmarkStart w:id="763" w:name="Tc_wd3wCBu3LEuY6Uvsv2SlbA_2_0"/>
      <w:bookmarkStart w:id="764" w:name="Tc_YzTnH9vMb066v5tRjUSABA_1_2"/>
      <w:bookmarkStart w:id="765" w:name="Tc_ZaLQqleTREiyiK2tEo7qwg_1_0"/>
      <w:bookmarkEnd w:id="760"/>
      <w:bookmarkEnd w:id="761"/>
      <w:bookmarkEnd w:id="762"/>
      <w:bookmarkEnd w:id="763"/>
      <w:bookmarkEnd w:id="764"/>
      <w:bookmarkEnd w:id="765"/>
      <w:r>
        <w:rPr>
          <w:rFonts w:ascii="Times New Roman;Times;serif" w:hAnsi="Times New Roman;Times;serif"/>
          <w:color w:val="231F20"/>
          <w:spacing w:val="-10"/>
          <w:sz w:val="20"/>
        </w:rPr>
        <w:t>Level 3  </w:t>
      </w:r>
      <w:r>
        <w:rPr>
          <w:rFonts w:ascii="Times New Roman;Times;serif" w:hAnsi="Times New Roman;Times;serif"/>
          <w:sz w:val="20"/>
        </w:rPr>
        <w:t>—  </w:t>
      </w:r>
      <w:r>
        <w:rPr>
          <w:rFonts w:ascii="Times New Roman;Times;serif" w:hAnsi="Times New Roman;Times;serif"/>
          <w:color w:val="231F20"/>
          <w:spacing w:val="-10"/>
          <w:sz w:val="20"/>
        </w:rPr>
        <w:t>Inputs to the fair value measurement are unobservable inputs, such as estimates, assumptions, and valuation techniques when little or no market data exists for the assets or liabilities.</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Accounts Receivable and Allowance for Doubtful Accounts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Accounts receivable represent amounts due from customers. The allowance for doubtful accounts is recorded for estimated losses by evaluating various factors, including relative creditworthiness of each customer, historical collections experience and aging of the receivable. As of June 30, 2026 and December 31, 2025, an allowance for doubtful accounts was not deemed necessary.</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Inventory</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Inventory is stated at the lower of standard cost (which approximates actual cost on a first-in, first-out basis) and net realizable value. Net realizable value represents the estimated selling prices in the ordinary course of business, less reasonably predictable costs of completion, disposal and transportation. The Company analyzes its inventory levels and writes down inventory that has become obsolete or has a cost basis in excess of its expected net realizable value or inventory quantities in excess of expected requirements. Excess requirements are determined based on comparison of existing inventories to forecasted sales, with consideration given to inventory shelf life. Expired inventory is disposed of, and the related costs are recognized in cost of goods sold. As of June 30, 2026 and December 31, 2025, an impairment charge as a result of obsolete inventory was not deemed necessary.</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Research and Development Prepayments, Accruals and Related Expenses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Company incurs costs of research and development activities conducted by its third-party service providers, which include the conduct of preclinical and clinical studies. The Company is required to estimate its prepaid and accrued research and development costs at each reporting date. These estimates are made as of the reporting date of the work completed over the life of the individual study in accordance with agreements established with the Company’s service providers. The Company determines the estimates of research and development activities incurred at the end of each reporting period through discussion with internal personnel and outside service providers, as to the progress or stage of completion of trials or services, as of the end of the reporting period, pursuant to contracts with the third parties and the agreed upon fee to be paid for such services. Nonrefundable advance payments for goods or services to be received in the future for use in research and development activities are deferred and capitalized. The capitalized amounts are expensed as the related goods are accepted by the Company or the services are performed. Accruals are recorded for the amounts of services provided that have not yet been invoiced.</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Property and Equipment</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Property and equipment are stated at cost, net of accumulated depreciation and amortization. Depreciation and amortization is computed using the straight-line method over the estimated useful lives of the respective assets. Leasehold improvements are amortized over the lesser of their useful life or the remaining life of the lease. When assets are retired or otherwise disposed of, the cost and related accumulated depreciation and amortization are removed from the balance sheet and any resulting gain or loss is reflected in operations in the period realized. Maintenance and repairs are charged to operations as incurred.</w:t>
      </w:r>
    </w:p>
    <w:p>
      <w:pPr>
        <w:pStyle w:val="TextBody"/>
        <w:bidi w:val="0"/>
        <w:spacing w:before="0" w:after="0"/>
        <w:ind w:left="0" w:right="0" w:hanging="0"/>
        <w:jc w:val="left"/>
        <w:rPr/>
      </w:pPr>
      <w:r>
        <w:rPr/>
        <w:t>​</w:t>
      </w:r>
    </w:p>
    <w:tbl>
      <w:tblPr>
        <w:tblW w:w="4848" w:type="dxa"/>
        <w:jc w:val="left"/>
        <w:tblInd w:w="0" w:type="dxa"/>
        <w:tblLayout w:type="fixed"/>
        <w:tblCellMar>
          <w:top w:w="0" w:type="dxa"/>
          <w:left w:w="0" w:type="dxa"/>
          <w:bottom w:w="0" w:type="dxa"/>
          <w:right w:w="0" w:type="dxa"/>
        </w:tblCellMar>
      </w:tblPr>
      <w:tblGrid>
        <w:gridCol w:w="3226"/>
        <w:gridCol w:w="346"/>
        <w:gridCol w:w="127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48510" cy="175260"/>
                      <wp:effectExtent l="0" t="0" r="0" b="0"/>
                      <wp:wrapNone/>
                      <wp:docPr id="65" name="Frame64"/>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810260" cy="175260"/>
                      <wp:effectExtent l="0" t="0" r="0" b="0"/>
                      <wp:wrapNone/>
                      <wp:docPr id="67" name="Frame66"/>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 category</w:t>
            </w:r>
          </w:p>
        </w:tc>
        <w:tc>
          <w:tcPr>
            <w:tcW w:w="346" w:type="dxa"/>
            <w:tcBorders/>
            <w:vAlign w:val="center"/>
          </w:tcPr>
          <w:p>
            <w:pPr>
              <w:pStyle w:val="TableContents"/>
              <w:bidi w:val="0"/>
              <w:spacing w:before="0" w:after="0"/>
              <w:ind w:left="0" w:right="0" w:hanging="0"/>
              <w:jc w:val="left"/>
              <w:rPr/>
            </w:pPr>
            <w:r>
              <w:rPr/>
              <w:t>  ​ ​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Depreciable life</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 years</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equipment</w:t>
            </w:r>
          </w:p>
        </w:tc>
        <w:tc>
          <w:tcPr>
            <w:tcW w:w="34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 – 7 years</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 years</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Leases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At the inception of an arrangement, the Company determines whether the arrangement is or contains a lease based on the terms of the arrangement.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assured to exercise. The Company’s policy is to not record leases with a lease term of 12 months or less on its balance 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 Lease expense for operating leases is recognized on a straight-line basis over the reasonably assured lease term based on the total lease payments and is included in operating expense in the condensed consolidated statements of operations and comprehensive loss.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Payments due under each lease agreement include fixed and variable payments. Variable payments relate to the Company’s share of the lessor’s operating costs associated with the underlying asset and are recognized when the event on which those payments are assessed occurs. Variable payments have been excluded from the lease liability and associated right-of-use asset.</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Debt Discount and Debt Issuance Costs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Debt discounts and debt issuance costs incurred in connection with the issuance of debt are capitalized and reflected as a reduction to the related debt liability. The costs are amortized to interest expense over the term of the debt using the effective-interest method.</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Impairment of Long-Lived Assets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Company reviews long-lived assets for impairment whenever events or changes in circumstances indicate that the carrying amount of an asset may not be recoverable. Recoverability is measured by comparing the carrying amount to the future net undiscounted cash flows that the assets are expected to generate. If such assets are considered to be impaired, the impairment to be recognized is measured by the amount by which the carrying amount of the assets exceeds the projected discounted future net cash flows arising from the asset. The Company has not identified any such impairment losses to date.</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Revenue Recognition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 xml:space="preserve">The Company recognizes revenue under the core principle according to ASC 606, </w:t>
      </w:r>
      <w:r>
        <w:rPr>
          <w:rFonts w:ascii="Times New Roman;Times;serif" w:hAnsi="Times New Roman;Times;serif"/>
          <w:i/>
          <w:color w:val="231F20"/>
          <w:spacing w:val="-10"/>
          <w:sz w:val="20"/>
        </w:rPr>
        <w:t>Revenue from Contracts with Customers</w:t>
      </w:r>
      <w:r>
        <w:rPr>
          <w:rFonts w:ascii="Times New Roman;Times;serif" w:hAnsi="Times New Roman;Times;serif"/>
          <w:color w:val="231F20"/>
          <w:spacing w:val="-10"/>
          <w:sz w:val="20"/>
        </w:rPr>
        <w:t xml:space="preserve"> (“ASC 606”), to depict the transfer of control to the Company’s customers in an amount reflecting the consideration to which the Company expects to be entitled. In order to achieve that core principle,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Company’s revenues were previously comprised of partnership revenues from the Terumo Agreement relating to the development and commercialization of Virtue SAB, and continue to include product revenue from the sale of FreeHold’s intracorporeal organ retractors.</w:t>
      </w:r>
    </w:p>
    <w:p>
      <w:pPr>
        <w:pStyle w:val="TextBody"/>
        <w:bidi w:val="0"/>
        <w:spacing w:before="0" w:after="0"/>
        <w:ind w:left="0" w:right="0" w:hanging="0"/>
        <w:jc w:val="left"/>
        <w:rPr>
          <w:color w:val="231F20"/>
          <w:spacing w:val="-10"/>
        </w:rPr>
      </w:pPr>
      <w:r>
        <w:rPr>
          <w:color w:val="231F20"/>
          <w:spacing w:val="-1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Partnership Revenues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Previously, the Company’s partnership revenues have related to the Terumo Agreement (as defined below), which was terminated pursuant to a termination and right of first refusal agreement on October 24, 2025 (the “Termination and ROFR Agreement”). In future periods, partnership revenues may also include revenues related to the Amended Medtronic Agreement as discussed in Note 3 – “</w:t>
      </w:r>
      <w:r>
        <w:rPr>
          <w:rFonts w:ascii="Times New Roman;Times;serif" w:hAnsi="Times New Roman;Times;serif"/>
          <w:i/>
          <w:color w:val="231F20"/>
          <w:spacing w:val="-10"/>
          <w:sz w:val="20"/>
        </w:rPr>
        <w:t>Medtronic Agreement”.</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Product Revenues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Product revenues related primarily to sales of FreeHold’s intracorporeal organ retractors are recognized at a point-in-time upon the shipment of the product to the customer, and there are no significant estimates or judgments related to estimating the transaction price. The product revenues consist of a single performance obligation, and the payment terms are typically 30 days. Product revenues are recognized solely in the United States.</w:t>
      </w:r>
    </w:p>
    <w:p>
      <w:pPr>
        <w:pStyle w:val="TextBody"/>
        <w:bidi w:val="0"/>
        <w:spacing w:before="0" w:after="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Stock-Based Compensation</w:t>
      </w:r>
    </w:p>
    <w:p>
      <w:pPr>
        <w:pStyle w:val="TextBody"/>
        <w:bidi w:val="0"/>
        <w:spacing w:before="0" w:after="0"/>
        <w:ind w:left="0" w:right="0" w:hanging="0"/>
        <w:jc w:val="both"/>
        <w:rPr>
          <w:color w:val="231F20"/>
          <w:spacing w:val="-10"/>
        </w:rPr>
      </w:pPr>
      <w:r>
        <w:rPr>
          <w:color w:val="231F20"/>
          <w:spacing w:val="-1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 xml:space="preserve">The Company applies ASC 718-10, </w:t>
      </w:r>
      <w:r>
        <w:rPr>
          <w:rFonts w:ascii="Times New Roman;Times;serif" w:hAnsi="Times New Roman;Times;serif"/>
          <w:i/>
          <w:color w:val="231F20"/>
          <w:spacing w:val="-10"/>
          <w:sz w:val="20"/>
        </w:rPr>
        <w:t>Compensation — Stock Compensation</w:t>
      </w:r>
      <w:r>
        <w:rPr>
          <w:rFonts w:ascii="Times New Roman;Times;serif" w:hAnsi="Times New Roman;Times;serif"/>
          <w:color w:val="231F20"/>
          <w:spacing w:val="-10"/>
          <w:sz w:val="20"/>
        </w:rPr>
        <w:t>, which requires the measurement and recognition of compensation expenses for all stock-based payment awards made to employees and directors including employee stock options under the Company’s stock plans based on estimated fair values (see Note 10 – “</w:t>
      </w:r>
      <w:r>
        <w:rPr>
          <w:rFonts w:ascii="Times New Roman;Times;serif" w:hAnsi="Times New Roman;Times;serif"/>
          <w:i/>
          <w:color w:val="231F20"/>
          <w:spacing w:val="-10"/>
          <w:sz w:val="20"/>
        </w:rPr>
        <w:t>Stock-Based Compensation</w:t>
      </w:r>
      <w:r>
        <w:rPr>
          <w:rFonts w:ascii="Times New Roman;Times;serif" w:hAnsi="Times New Roman;Times;serif"/>
          <w:color w:val="231F20"/>
          <w:spacing w:val="-10"/>
          <w:sz w:val="20"/>
        </w:rPr>
        <w:t>”). Each award vests over the subsequent period during which the recipient is required to provide service in exchange for the award (the “vesting period”). The cost of each award is recognized as an expense in the financial statements over the respective vesting period on a straight-line basis.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Under the requirements of ASU 2018-07, the Company accounts for stock-based compensation to nonemployees under the fair value method, which requires all such compensation to be calculated based on the fair value at the measurement date (generally the grant date) and recognized in the Company’s condensed consolidated statements of operations and comprehensive loss over the requisite service period. The Company accounts for forfeitures of stock-based awards as they occur.</w:t>
      </w:r>
    </w:p>
    <w:p>
      <w:pPr>
        <w:pStyle w:val="TextBody"/>
        <w:bidi w:val="0"/>
        <w:spacing w:before="0" w:after="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Series A Preferred Stock</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color w:val="231F20"/>
          <w:spacing w:val="-10"/>
          <w:sz w:val="20"/>
        </w:rPr>
        <w:t xml:space="preserve">The Company applies ASC 480-10, </w:t>
      </w:r>
      <w:r>
        <w:rPr>
          <w:rFonts w:ascii="Times New Roman;Times;serif" w:hAnsi="Times New Roman;Times;serif"/>
          <w:i/>
          <w:color w:val="231F20"/>
          <w:spacing w:val="-10"/>
          <w:sz w:val="20"/>
        </w:rPr>
        <w:t xml:space="preserve">Distinguishing Liabilities from Equity </w:t>
      </w:r>
      <w:r>
        <w:rPr>
          <w:rFonts w:ascii="Times New Roman;Times;serif" w:hAnsi="Times New Roman;Times;serif"/>
          <w:color w:val="231F20"/>
          <w:spacing w:val="-10"/>
          <w:sz w:val="20"/>
        </w:rPr>
        <w:t>(“ASC 480”)</w:t>
      </w:r>
      <w:r>
        <w:rPr>
          <w:rFonts w:ascii="Times New Roman;Times;serif" w:hAnsi="Times New Roman;Times;serif"/>
          <w:i/>
          <w:color w:val="231F20"/>
          <w:spacing w:val="-10"/>
          <w:sz w:val="20"/>
        </w:rPr>
        <w:t>,</w:t>
      </w:r>
      <w:r>
        <w:rPr>
          <w:rFonts w:ascii="Times New Roman;Times;serif" w:hAnsi="Times New Roman;Times;serif"/>
          <w:color w:val="231F20"/>
          <w:spacing w:val="-10"/>
          <w:sz w:val="20"/>
        </w:rPr>
        <w:t xml:space="preserve"> which requires an evaluation to determine if liability classification is required for redeemable convertible stock.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 </w:t>
      </w:r>
    </w:p>
    <w:p>
      <w:pPr>
        <w:pStyle w:val="TextBody"/>
        <w:bidi w:val="0"/>
        <w:spacing w:before="0" w:after="0"/>
        <w:ind w:left="0" w:right="0" w:hanging="0"/>
        <w:jc w:val="both"/>
        <w:rPr>
          <w:color w:val="231F20"/>
          <w:spacing w:val="-10"/>
        </w:rPr>
      </w:pPr>
      <w:r>
        <w:rPr>
          <w:color w:val="231F20"/>
          <w:spacing w:val="-10"/>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Securities that do not meet the scoping criteria to be classified as a liability under ASC 480 are subject to redeemable equity guidance, which prescribes that securities that may be subject to redemption upon an event not solely within the Company’s control should be classified as mezzanine equity. Securities classified in mezzanine equity are initially measured at the fair value, net of issuance costs and excluding the fair value of bifurcated embedded derivatives, if any. Subsequent measurement is required when the combined initial amount recorded in mezzanine equity and its related derivative liability is greater than the period end carrying amount. Adjustments to the carrying amount are charged to retained earnings (or additional paid in capital if there are no retained earnings) and do not affect net loss or comprehensive loss in the condensed consolidated financial statements. Subsequent measurement of the carrying value of the redeemable convertible preferred stock is also required when the instrument is probable of becoming redeemable. The Company will accrete the redeemable convertible preferred stock to its redemption value once the instrument is probable of becoming redeemable. In certain circumstances, the redemption price may vary based on changes in stock price, in which case the Company recognizes changes in the redemption value immediately as they occur and adjusts the carrying value of the security to equal the then current maximum redemption value at the end of each reporting period.</w:t>
      </w:r>
    </w:p>
    <w:p>
      <w:pPr>
        <w:pStyle w:val="TextBody"/>
        <w:bidi w:val="0"/>
        <w:spacing w:before="0" w:after="0"/>
        <w:ind w:left="0" w:right="0" w:firstLine="360"/>
        <w:jc w:val="both"/>
        <w:rPr>
          <w:color w:val="231F20"/>
          <w:spacing w:val="-10"/>
        </w:rPr>
      </w:pPr>
      <w:r>
        <w:rPr>
          <w:color w:val="231F20"/>
          <w:spacing w:val="-1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Derivative Liability</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Company evaluates all its financial instruments, including convertible debt and redeemable convertible preferred stock, to determine if such instruments are derivatives or contain features that qualify as embedded derivatives. The Company applies significant judgment to identify and evaluate complex terms and conditions in these contracts and agreements to determine whether embedded derivatives exist. Embedded derivatives must be separately measured from the host contracts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condensed consolidated statements of operations and comprehensive loss at each reporting period end. Bifurcated embedded derivatives are classified as a separate liability in the condensed consolidated balance sheets.</w:t>
      </w:r>
    </w:p>
    <w:p>
      <w:pPr>
        <w:pStyle w:val="TextBody"/>
        <w:bidi w:val="0"/>
        <w:spacing w:before="0" w:after="0"/>
        <w:ind w:left="0" w:right="0" w:hanging="0"/>
        <w:jc w:val="left"/>
        <w:rPr>
          <w:color w:val="231F20"/>
          <w:spacing w:val="-10"/>
        </w:rPr>
      </w:pPr>
      <w:r>
        <w:rPr>
          <w:color w:val="231F20"/>
          <w:spacing w:val="-10"/>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color w:val="231F20"/>
          <w:spacing w:val="-10"/>
          <w:sz w:val="20"/>
        </w:rPr>
        <w:t>The Company’s derivative liability is related to the conversion features embedded in the Series A Preferred Stock. See Note 7 – “</w:t>
      </w:r>
      <w:r>
        <w:rPr>
          <w:rFonts w:ascii="Times New Roman;Times;serif" w:hAnsi="Times New Roman;Times;serif"/>
          <w:i/>
          <w:color w:val="231F20"/>
          <w:spacing w:val="-10"/>
          <w:sz w:val="20"/>
        </w:rPr>
        <w:t>Common and Preferred Stock”</w:t>
      </w:r>
      <w:r>
        <w:rPr>
          <w:rFonts w:ascii="Times New Roman;Times;serif" w:hAnsi="Times New Roman;Times;serif"/>
          <w:color w:val="231F20"/>
          <w:spacing w:val="-10"/>
          <w:sz w:val="20"/>
        </w:rPr>
        <w:t xml:space="preserve"> for additional information.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 xml:space="preserve">Net Loss Per Share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Basic net loss per share is calculated by dividing net loss less the adjustment to carrying value of Series A Preferred Stock by the weighted-average number of shares of common stock of the Company (“Common Stock”) outstanding for the period, without consideration of potential dilutive shares of Common Stock. Since the Company was in a loss position for the periods presented, basic net loss is the same as diluted net loss since the effects of potentially dilutive securities are antidilutive. Potentially dilutive securities include all outstanding warrants, stock options, Earnout Consideration (see Note 16 – “</w:t>
      </w:r>
      <w:r>
        <w:rPr>
          <w:rFonts w:ascii="Times New Roman;Times;serif" w:hAnsi="Times New Roman;Times;serif"/>
          <w:i/>
          <w:color w:val="231F20"/>
          <w:spacing w:val="-10"/>
          <w:sz w:val="20"/>
        </w:rPr>
        <w:t>Net Loss Per Share”</w:t>
      </w:r>
      <w:r>
        <w:rPr>
          <w:rFonts w:ascii="Times New Roman;Times;serif" w:hAnsi="Times New Roman;Times;serif"/>
          <w:color w:val="231F20"/>
          <w:spacing w:val="-10"/>
          <w:sz w:val="20"/>
        </w:rPr>
        <w:t>), unvested restricted stock awards, convertible preferred shares (see Note 7 – “</w:t>
      </w:r>
      <w:r>
        <w:rPr>
          <w:rFonts w:ascii="Times New Roman;Times;serif" w:hAnsi="Times New Roman;Times;serif"/>
          <w:i/>
          <w:color w:val="231F20"/>
          <w:spacing w:val="-10"/>
          <w:sz w:val="20"/>
        </w:rPr>
        <w:t>Common and Preferred Stock”</w:t>
      </w:r>
      <w:r>
        <w:rPr>
          <w:rFonts w:ascii="Times New Roman;Times;serif" w:hAnsi="Times New Roman;Times;serif"/>
          <w:color w:val="231F20"/>
          <w:spacing w:val="-10"/>
          <w:sz w:val="20"/>
        </w:rPr>
        <w:t>) and restricted stock units. Shares of Common Stock outstanding but subject to forfeiture and cancellation by the Company (e.g., the Forfeitable Shares (as defined in Note 16)) are excluded from the weighted-average number of shares until the period in which such shares are no longer subject to forfeiture. Pre-funded warrants (see Note 9 – “</w:t>
      </w:r>
      <w:r>
        <w:rPr>
          <w:rFonts w:ascii="Times New Roman;Times;serif" w:hAnsi="Times New Roman;Times;serif"/>
          <w:i/>
          <w:color w:val="231F20"/>
          <w:spacing w:val="-10"/>
          <w:sz w:val="20"/>
        </w:rPr>
        <w:t>Warrants”</w:t>
      </w:r>
      <w:r>
        <w:rPr>
          <w:rFonts w:ascii="Times New Roman;Times;serif" w:hAnsi="Times New Roman;Times;serif"/>
          <w:color w:val="231F20"/>
          <w:spacing w:val="-10"/>
          <w:sz w:val="20"/>
        </w:rPr>
        <w:t>) are considered outstanding for the purposes of computing basic and diluted net loss per share because shares may be issued for little or no additional consideration and are fully vested and exercisable after the original issuance date of the pre-funded warrant. In periods in which there is net income, the Company would apply the two-class method to compute net income per share. Under this method, earnings are allocated to common stock and participating securities based on their respective rights to receive dividends, as if all undistributed earnings for the period were distributed. The two-class method does not apply in periods in which a net loss is reported.</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 xml:space="preserve">The Company accounts for income taxes using the asset-and-liability method in accordance with ASC 740, </w:t>
      </w:r>
      <w:r>
        <w:rPr>
          <w:rFonts w:ascii="Times New Roman;Times;serif" w:hAnsi="Times New Roman;Times;serif"/>
          <w:i/>
          <w:color w:val="231F20"/>
          <w:spacing w:val="-10"/>
          <w:sz w:val="20"/>
        </w:rPr>
        <w:t>Income Taxes</w:t>
      </w:r>
      <w:r>
        <w:rPr>
          <w:rFonts w:ascii="Times New Roman;Times;serif" w:hAnsi="Times New Roman;Times;serif"/>
          <w:color w:val="231F20"/>
          <w:spacing w:val="-10"/>
          <w:sz w:val="20"/>
        </w:rPr>
        <w:t xml:space="preserve"> (“ASC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the deferred tax assets and liabilities of a change in tax rate is recognized in the period that includes the enactment date. A valuation allowance is recorded if it is more-likely-than-not that some portion or all the deferred tax assets will not be realized in future periods. At June 30, 2026 and December 31, 2025, the Company recorded a full valuation allowance on its deferred tax assets.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Company follows the guidance in ASC Topic 740 – 10 in assessing uncertain tax positions. The standard applies to all tax positions and clarifies the recognition of tax benefits in the financial statements by providing for a two-step approach of recognition and measurement. The first step involves assessing whether the tax position is more-likely-than-not to be sustained upon examination based upon its technical merits. The second step involves measurement of the amount to be recognized. Tax positions that meet the more-likely than-not threshold are measured at the largest amount of tax benefit that is greater than 50% likely of being realized upon ultimate finalization with the taxing authority. The Company recognizes the impact of an uncertain income tax position in the financial statements if it believes that the position is more likely than not to be sustained by the relevant taxing authority. The Company will recognize interest and penalties related to tax positions in income tax expense as applicable.</w:t>
      </w:r>
    </w:p>
    <w:p>
      <w:pPr>
        <w:pStyle w:val="TextBody"/>
        <w:bidi w:val="0"/>
        <w:spacing w:before="0" w:after="0"/>
        <w:ind w:left="0" w:right="0" w:hanging="0"/>
        <w:jc w:val="left"/>
        <w:rPr>
          <w:color w:val="231F20"/>
          <w:spacing w:val="-10"/>
        </w:rPr>
      </w:pPr>
      <w:r>
        <w:rPr>
          <w:color w:val="231F20"/>
          <w:spacing w:val="-1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Defined Contribution Plan</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Company has a defined retirement savings plan under Section 401(k) of the Internal Revenue Code. This plan allows eligible employees to defer a portion of their annual compensation on a pre-tax basis. Effective January 1, 2023, the Company participates in a matching safe harbor 401(k) Plan with a Company contribution of up to 3.5% of each eligible participating employee’s compensation. Safe harbor contributions vest immediately for each participant. During the three and six months ended June 30, 2026, the Company made $127,000 and $291,000, respectively, in contributions under this safe harbor 401(k) Plan. During three and six months ended June 30, 2025, the Company made $119,000 and $239,000, respectively, in contributions under this safe harbor 401(k) Plan.</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Comprehensive Loss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Comprehensive loss is comprised of net loss and changes in unrealized gains and losses on the Company’s available-for-sale investments.</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Segment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one segment. For further discussion on Segment Reporting, see Note 15 - “</w:t>
      </w:r>
      <w:r>
        <w:rPr>
          <w:rFonts w:ascii="Times New Roman;Times;serif" w:hAnsi="Times New Roman;Times;serif"/>
          <w:i/>
          <w:color w:val="231F20"/>
          <w:spacing w:val="-10"/>
          <w:sz w:val="20"/>
        </w:rPr>
        <w:t>Segment Disclosures.”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New Accounting Standards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 xml:space="preserve">In November 2024, the FASB issued ASU 2024-03, </w:t>
      </w:r>
      <w:r>
        <w:rPr>
          <w:rFonts w:ascii="Times New Roman;Times;serif" w:hAnsi="Times New Roman;Times;serif"/>
          <w:i/>
          <w:color w:val="231F20"/>
          <w:spacing w:val="-10"/>
          <w:sz w:val="20"/>
        </w:rPr>
        <w:t>Disaggregation of Income Statement Expenses</w:t>
      </w:r>
      <w:r>
        <w:rPr>
          <w:rFonts w:ascii="Times New Roman;Times;serif" w:hAnsi="Times New Roman;Times;serif"/>
          <w:color w:val="231F20"/>
          <w:spacing w:val="-10"/>
          <w:sz w:val="20"/>
        </w:rPr>
        <w:t xml:space="preserve"> (“ASU 2024-03”) to improve the disclosures about a public business entity’s expenses and address requests from investors for more detailed information about the types of expenses in commonly presented expense captions. ASU 2024-03 is effective for annual reporting periods beginning after December 15, 2026. Early adoption is permitted. The Company is currently evaluating the impact of adopting ASU 2024-03 on its condensed consolidated financial statements</w:t>
      </w:r>
      <w:r>
        <w:rPr>
          <w:rFonts w:ascii="Times New Roman;Times;serif" w:hAnsi="Times New Roman;Times;serif"/>
          <w:sz w:val="20"/>
        </w:rPr>
        <w:t>.</w:t>
      </w:r>
    </w:p>
    <w:p>
      <w:pPr>
        <w:pStyle w:val="TextBody"/>
        <w:bidi w:val="0"/>
        <w:spacing w:before="0" w:after="180"/>
        <w:ind w:left="0" w:right="0" w:hanging="0"/>
        <w:jc w:val="both"/>
        <w:rPr>
          <w:rFonts w:ascii="Times New Roman;Times;serif" w:hAnsi="Times New Roman;Times;serif"/>
          <w:b/>
          <w:sz w:val="20"/>
        </w:rPr>
      </w:pPr>
      <w:r>
        <w:rPr>
          <w:rFonts w:ascii="Times New Roman;Times;serif" w:hAnsi="Times New Roman;Times;serif"/>
          <w:b/>
          <w:sz w:val="20"/>
        </w:rPr>
        <w:t>3. Medtronic Agreement</w:t>
      </w:r>
    </w:p>
    <w:p>
      <w:pPr>
        <w:pStyle w:val="TextBody"/>
        <w:bidi w:val="0"/>
        <w:spacing w:before="0" w:after="18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In June 2022, Orchestra BioMed, Inc., BackBeat and Medtronic entered into the Medtronic Agreement for the development and commercialization of AVIM Therapy for the treatment of pacemaker-indicated patients with uncontrolled HTN despite the use of anti-hypertensive medications (the “Primary Field”). Under the terms of the Medtronic Agreement, the Company is sponsoring an ongoing multinational pivotal study, to support regulatory approval of AVIM Therapy in the Primary Field and is financially responsible for development, clinical and regulatory costs associated with this pivotal study. AVIM Therapy has been integrated into the Medtronic top-of-the-line, commercially available dual-chamber pacemaker system specifically for use in the pivotal trial, and Medtronic is providing development, clinical and regulatory resources in support of the pivotal trial, for which the Company is reimbursing Medtronic at cost.</w:t>
      </w:r>
    </w:p>
    <w:p>
      <w:pPr>
        <w:pStyle w:val="TextBody"/>
        <w:bidi w:val="0"/>
        <w:spacing w:before="0" w:after="18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Under the terms of the Medtronic Agreement, as amended pursuant to the Medtronic Agreement Amendment, Medtronic will have exclusive rights to commercialize AVIM-enabled pacing systems globally following receipt of regulatory approval. Medtronic would be entirely responsible for global commercialization following receipt of regulatory approvals, including manufacturing, sales, marketing and distribution costs.</w:t>
      </w:r>
    </w:p>
    <w:p>
      <w:pPr>
        <w:pStyle w:val="TextBody"/>
        <w:bidi w:val="0"/>
        <w:spacing w:before="0" w:after="18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Company is expected to receive between $500 and $1,600 per AVIM-enabled device sold based on a formula of the higher of (1) a fixed dollar amount per AVIM-enabled device (amount varies materially on a country-by-country basis) or (2) a percentage of the AVIM Therapy-generated sales. Procedures using the AVIM-enabled pacemakers are expected to be billed under existing reimbursement codes.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Medtronic has a right of first negotiation through U.S. Food and Drug Administration (“FDA”) approval of AVIM Therapy in the Primary Field, to expand its global rights to AVIM Therapy for the treatment of HTN patients not indicated for a pacemaker.</w:t>
      </w:r>
    </w:p>
    <w:p>
      <w:pPr>
        <w:pStyle w:val="TextBody"/>
        <w:bidi w:val="0"/>
        <w:spacing w:before="0" w:after="18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Company assessed whether the Amended Medtronic Agreement fell within the scope of ASC 808 and concluded that the Amended Medtronic Agreement is a collaboration within the scope of ASC 808. In addition, the Company determined that Medtronic is a customer for a good or service that is a distinct unit of account, and therefore, the transactions in the Amended Medtronic Agreement should be accounted for under ASC 606.</w:t>
      </w:r>
    </w:p>
    <w:p>
      <w:pPr>
        <w:pStyle w:val="TextBody"/>
        <w:bidi w:val="0"/>
        <w:spacing w:before="0" w:after="18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Company has concluded that the license granted to Medtronic is not distinct from the development and implementation services that will be provided to Medtronic through the completion of the development of HTN indication, as Medtronic cannot obtain the benefit of the license without the related development and implementation services. ASC 606-10-55-65 includes an exception for the recognition of revenue relating to licenses of intellectual property with sales-based or usage-based royalties. Under this exception, royalty revenue is not recorded until the subsequent sale or usage occurs, or the performance obligation has been satisfied, whichever is later.</w:t>
      </w:r>
    </w:p>
    <w:p>
      <w:pPr>
        <w:pStyle w:val="TextBody"/>
        <w:bidi w:val="0"/>
        <w:spacing w:before="0" w:after="18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Company concluded that the exemption applies and therefore, the royalty revenue associated with these performance obligations will be recognized as the underlying sales occur. Additionally, pursuant to the Amended Medtronic Agreement, expenses incurred by Medtronic in connection with clinical device development and regulatory activities performed will be reimbursed by the Company. The Company will record such expenses as research and development expenses as incurred. During the three and six months ended June 30, 2026, the Company incurred approximately $2.8 million and $5.4 million, respectively, of research and development costs related to these reimbursements pursuant to the Amended Medtronic Agreement, of which $4.5 million is included within accounts payable and accrued expenses in the Company’s June 30, 2026 condensed consolidated balance sheet. During the three and six months ended June 30, 2025, the Company incurred approximately $4.0 million and $7.4 million, respectively, of research and development costs related to these reimbursements pursuant to the Amended Medtronic Agreement. </w:t>
      </w:r>
    </w:p>
    <w:p>
      <w:pPr>
        <w:pStyle w:val="TextBody"/>
        <w:bidi w:val="0"/>
        <w:spacing w:before="0" w:after="18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Concurrently with the close of the Medtronic Agreement, Orchestra BioMed, Inc. also received a $40.0 million investment from Medtronic in connection with Orchestra BioMed, Inc.’s Series D-2 Preferred Stock financing. The equity was purchased at a fair value consistent with the price paid by other investors at that time, and accordingly, the proceeds received were recorded as an equity investment.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On July 31, 2025, Orchestra BioMed, Inc., BackBeat and Medtronic entered into an amendment to the Medtronic Agreement, which became effective on August 4, 2025 (the “Medtronic Agreement Amendment”), to provide, among other things, a development and commercialization framework for future AVIM-therapy integration into a dual-chamber leadless pacemaker. Pursuant to the Medtronic Agreement Amendment, the Company will, among other things, be required to reimburse Medtronic for certain expenses incurred in connection with the integration of AVIM-therapy into Medtronic’s dual-chamber leadless pacemaker, up to a specified cap.</w:t>
      </w:r>
    </w:p>
    <w:p>
      <w:pPr>
        <w:pStyle w:val="TextBody"/>
        <w:bidi w:val="0"/>
        <w:spacing w:before="0" w:after="240"/>
        <w:ind w:left="0" w:right="0" w:firstLine="360"/>
        <w:jc w:val="both"/>
        <w:rPr>
          <w:color w:val="231F20"/>
          <w:spacing w:val="-10"/>
        </w:rPr>
      </w:pPr>
      <w:r>
        <w:rPr>
          <w:color w:val="231F20"/>
          <w:spacing w:val="-10"/>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color w:val="231F20"/>
          <w:spacing w:val="-10"/>
          <w:sz w:val="20"/>
        </w:rPr>
        <w:t>On July 31, 2025, the Company and its wholly-owned subsidiaries, Orchestra BioMed, Inc. and BackBeat, entered into a loan agreement with Medtronic, pursuant to which Medtronic agreed to extend a convertible loan to the Company in the aggregate original principal amount of $20.0 million. For additional details, see Note 14 – “</w:t>
      </w:r>
      <w:r>
        <w:rPr>
          <w:rFonts w:ascii="Times New Roman;Times;serif" w:hAnsi="Times New Roman;Times;serif"/>
          <w:i/>
          <w:color w:val="231F20"/>
          <w:spacing w:val="-10"/>
          <w:sz w:val="20"/>
        </w:rPr>
        <w:t>Debt Financing.”</w:t>
      </w:r>
    </w:p>
    <w:p>
      <w:pPr>
        <w:pStyle w:val="TextBody"/>
        <w:bidi w:val="0"/>
        <w:spacing w:before="0" w:after="240"/>
        <w:ind w:left="0" w:right="0" w:hanging="0"/>
        <w:jc w:val="both"/>
        <w:rPr/>
      </w:pPr>
      <w:r>
        <w:rPr/>
        <w:t>​</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color w:val="231F20"/>
          <w:spacing w:val="-10"/>
          <w:sz w:val="20"/>
        </w:rPr>
        <w:t>Concurrently with the close of the Medtronic Agreement Amendment on August 4, 2025, Medtronic, through an affiliate, Covidien Group S.à.r.l. (“Covidien”), purchased 4,077,427 shares of Common Stock at a purchase price of $2.75 per share, for an aggregate purchase price of approximately $11.2 million, pursuant to a stock purchase agreement, dated as of July 31, 2025 and amended on August 1, 2025, between the Company and Covidien (as amended, the “Medtronic Stock Purchase Agreement”). Pursuant to the terms of the Medtronic Stock Purchase Agreement, Covidien purchased an additional 132,282 shares of Common Stock on August 28, 2025 at a purchase price of $2.75 per share, for an aggregate purchase price of $363,775, as a result of the exercise by the underwriters in the Public Offering (as defined below) of their option to purchase an additional 2,182,500 shares of Common Stock (See Note 7 – “</w:t>
      </w:r>
      <w:r>
        <w:rPr>
          <w:rFonts w:ascii="Times New Roman;Times;serif" w:hAnsi="Times New Roman;Times;serif"/>
          <w:i/>
          <w:color w:val="231F20"/>
          <w:spacing w:val="-10"/>
          <w:sz w:val="20"/>
        </w:rPr>
        <w:t>Common and Preferred Stock”</w:t>
      </w:r>
      <w:r>
        <w:rPr>
          <w:rFonts w:ascii="Times New Roman;Times;serif" w:hAnsi="Times New Roman;Times;serif"/>
          <w:color w:val="231F20"/>
          <w:spacing w:val="-10"/>
          <w:sz w:val="20"/>
        </w:rPr>
        <w:t>). The equity was purchased at a fair value consistent with the price paid by other investors at that time, and accordingly, the proceeds received were recorded as an equity investment.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Through June 30, 2026, there have been no amounts recognized as revenue under the Amended Medtronic Agreement.</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both"/>
        <w:rPr>
          <w:rFonts w:ascii="Times New Roman;Times;serif" w:hAnsi="Times New Roman;Times;serif"/>
          <w:b/>
          <w:sz w:val="20"/>
        </w:rPr>
      </w:pPr>
      <w:bookmarkStart w:id="766" w:name="_b52af760_e602_4a82_a1e1_4fe43c9c3943_3"/>
      <w:bookmarkStart w:id="767" w:name="_b52af760_e602_4a82_a1e1_4fe43c9c3943_2"/>
      <w:bookmarkStart w:id="768" w:name="_b52af760_e602_4a82_a1e1_4fe43c9c3943"/>
      <w:bookmarkStart w:id="769" w:name="Tc_NQlnzQZJ70qZ45_OidNHDw_10_11"/>
      <w:bookmarkStart w:id="770" w:name="Tc_cIncHtYMakWkikYXSLSonQ_10_8"/>
      <w:bookmarkStart w:id="771" w:name="Tc_jTnd0W-YAUuRIX1vin-Y2Q_10_6"/>
      <w:bookmarkStart w:id="772" w:name="Tc_CB1NlxlLCEmoCrvmHvH0qQ_10_5"/>
      <w:bookmarkStart w:id="773" w:name="Tc_nwfTTcImh0yqtpyZdVQstQ_10_3"/>
      <w:bookmarkStart w:id="774" w:name="Tc_7WXL93xoj020t43FPF-CiQ_10_2"/>
      <w:bookmarkStart w:id="775" w:name="Tc_A6TDFa6w7kKH2f_VVMI9nQ_10_0"/>
      <w:bookmarkStart w:id="776" w:name="Tc_bIxIBv2540GlxjiJGDfAig_9_6"/>
      <w:bookmarkStart w:id="777" w:name="Tc_KrNjkDB0QEGSduyX_fJi9A_9_3"/>
      <w:bookmarkStart w:id="778" w:name="Tc_PewqLg9E4kmrm6YnsD_Q9Q_9_0"/>
      <w:bookmarkStart w:id="779" w:name="Tc_ms2-bkEGKUuF0Z6890peSw_8_0"/>
      <w:bookmarkStart w:id="780" w:name="Tc_TmW_OUuTrUa8IYik9KwbxA_6_11"/>
      <w:bookmarkStart w:id="781" w:name="Tc_gGaxnZ0YbUidbne6vRtF5Q_6_9"/>
      <w:bookmarkStart w:id="782" w:name="Tc_zwelzwSLmEa1t7KZBJVuWg_6_8"/>
      <w:bookmarkStart w:id="783" w:name="Tc_gWBUST9zyk2LfNxMXp3AkA_6_5"/>
      <w:bookmarkStart w:id="784" w:name="Tc_HcAUJGS930GeW3uM3om4Yw_6_2"/>
      <w:bookmarkStart w:id="785" w:name="Tc_5CSZ56PhN0K2ahC_4keN8A_6_0"/>
      <w:bookmarkStart w:id="786" w:name="Tc_VxNM-EoWeUe4vuD9Fl9grA_5_9"/>
      <w:bookmarkStart w:id="787" w:name="Tc_IXRPy40zzE26dxZdv_f3HQ_5_3"/>
      <w:bookmarkStart w:id="788" w:name="Tc_tj3p3Ogv_USVBQU7jOakIQ_5_0"/>
      <w:bookmarkStart w:id="789" w:name="Tc_2RoCvGUGTUOYqRPvdJ6AkA_4_11"/>
      <w:bookmarkStart w:id="790" w:name="Tc_aYuLBOfaV0SIQj38mdYi4Q_4_9"/>
      <w:bookmarkStart w:id="791" w:name="Tc_iHfZCVZr20Ox_rb8BTpDNA_4_8"/>
      <w:bookmarkStart w:id="792" w:name="Tc_7NK6EzTZv0miHtOp8Bet2g_4_6"/>
      <w:bookmarkStart w:id="793" w:name="Tc_hOwynuRVWk-DMFquZIQdrQ_4_5"/>
      <w:bookmarkStart w:id="794" w:name="Tc_3Q9aHeOshE-zWw7UJNTOQw_4_2"/>
      <w:bookmarkStart w:id="795" w:name="Tc_JI3y8YWjfE6xlxcEa_7ZUw_4_0"/>
      <w:bookmarkStart w:id="796" w:name="Tc_q6kH2YGZakSL_JgB4PNmQA_3_0"/>
      <w:bookmarkStart w:id="797" w:name="Tc_YZ_tAZzfP0uCUByfrNlViQ_2_11"/>
      <w:bookmarkStart w:id="798" w:name="Tc_KF5lyFeQtE2M7ORp_QXpzQ_2_8"/>
      <w:bookmarkStart w:id="799" w:name="Tc_wwoTs-NLyUWK_1vQKLiUQw_2_5"/>
      <w:bookmarkStart w:id="800" w:name="Tc_Jb8tePShR0CEwoaGe_mxxA_2_2"/>
      <w:bookmarkStart w:id="801" w:name="Tc_64qdAZpR7kaB1LYm6pxt4Q_2_0"/>
      <w:bookmarkStart w:id="802" w:name="Tc_TBCxcExsJUykSjIwrQ5aSg_1_2"/>
      <w:bookmarkStart w:id="803" w:name="_433902ef_02eb_4a96_bd17_8189d20c51d8"/>
      <w:bookmarkStart w:id="804" w:name="Tc_lzOrDTpSUEKzaouS1iDrdA_10_11"/>
      <w:bookmarkStart w:id="805" w:name="Tc_iXcoiCILx06jajvvrorjVQ_10_8"/>
      <w:bookmarkStart w:id="806" w:name="Tc_1U512RMuS0Oy-pvyoQKxag_10_6"/>
      <w:bookmarkStart w:id="807" w:name="Tc_om1ND0z3Zk6NUK0_WJomuQ_10_5"/>
      <w:bookmarkStart w:id="808" w:name="Tc_R7MEvi4VbE6ymKrEvFjxUw_10_3"/>
      <w:bookmarkStart w:id="809" w:name="Tc_Lxj-zrWvLkOredG-f7vFGA_10_2"/>
      <w:bookmarkStart w:id="810" w:name="Tc_kjoKmldFa0yuYVB2OA8A3g_10_0"/>
      <w:bookmarkStart w:id="811" w:name="Tc_so4mfRYxlU6AXsdaKselOg_9_6"/>
      <w:bookmarkStart w:id="812" w:name="Tc_Cz5xEHzlJUmMxhyKwSW0zQ_9_3"/>
      <w:bookmarkStart w:id="813" w:name="Tc_9ymU9vTOl0uDO25PbSxwMQ_9_0"/>
      <w:bookmarkStart w:id="814" w:name="Tc_HF49XVERyUO_r_hIofXUTw_8_0"/>
      <w:bookmarkStart w:id="815" w:name="Tc_86Rw6kpDC0aGSRJCEyB5PQ_6_11"/>
      <w:bookmarkStart w:id="816" w:name="Tc_K0mOBwg-5kC9djzJzSbHYw_6_9"/>
      <w:bookmarkStart w:id="817" w:name="Tc_D5mbI_UZ9kiDXTGOyEDy-g_6_8"/>
      <w:bookmarkStart w:id="818" w:name="Tc_y25vqBR7XEuawlvimJjVTg_6_5"/>
      <w:bookmarkStart w:id="819" w:name="Tc_JP3AcqPbEEOyalmHTzOdsQ_6_2"/>
      <w:bookmarkStart w:id="820" w:name="Tc_fqxoXpT_ykiZYghbUEbZtg_6_0"/>
      <w:bookmarkStart w:id="821" w:name="Tc__hhpo2qvPE2Cihp_Wxpetw_5_9"/>
      <w:bookmarkStart w:id="822" w:name="Tc_WJJLhBQu2Umx18iWnX2qqw_5_3"/>
      <w:bookmarkStart w:id="823" w:name="Tc_e-JChgttSE-f-MwSwukwBw_5_0"/>
      <w:bookmarkStart w:id="824" w:name="Tc_ajFwxpMfmUynA7IhcHjomQ_4_11"/>
      <w:bookmarkStart w:id="825" w:name="Tc_n5qE6AnFAkWRzmbjlvtvAg_4_9"/>
      <w:bookmarkStart w:id="826" w:name="Tc_te78InK4lUejG4PcF2izWw_4_8"/>
      <w:bookmarkStart w:id="827" w:name="Tc_dj76B5KsMEqX2q33laE3aA_4_6"/>
      <w:bookmarkStart w:id="828" w:name="Tc_JkO8uKC6BU-0EPnYV8k5Jg_4_5"/>
      <w:bookmarkStart w:id="829" w:name="Tc_0DtqdOj9cUmOiwjKidnlFA_4_2"/>
      <w:bookmarkStart w:id="830" w:name="Tc_2BTg5Nrjp0qHvRF-4W7bAQ_4_0"/>
      <w:bookmarkStart w:id="831" w:name="Tc_AwJHlw4AEEiGB02CLpbvGg_3_0"/>
      <w:bookmarkStart w:id="832" w:name="Tc_DsgikbaWKE-BxXeLlEMGUg_2_11"/>
      <w:bookmarkStart w:id="833" w:name="Tc_0iEEqexzwUGfMIfV_LCGfw_2_8"/>
      <w:bookmarkStart w:id="834" w:name="Tc_j_u_8stk80WYxyDEzpqntQ_2_5"/>
      <w:bookmarkStart w:id="835" w:name="Tc_TCpjPzFyT0WJ9WiuRxNd1w_2_2"/>
      <w:bookmarkStart w:id="836" w:name="Tc_jaNdHbpQfU6JO78K26Qdgg_2_0"/>
      <w:bookmarkStart w:id="837" w:name="Tc_TSs-e1AEE0aQeEXGoczVcw_1_2"/>
      <w:bookmarkStart w:id="838" w:name="_4c7e5269_fabf_405d_96d3_76ca91912b72"/>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r>
        <w:rPr>
          <w:rFonts w:ascii="Times New Roman;Times;serif" w:hAnsi="Times New Roman;Times;serif"/>
          <w:b/>
          <w:sz w:val="20"/>
        </w:rPr>
        <w:t>4. Financial Instruments and Fair Value Measurements</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following tables summarize the Company’s financial assets and liabilities measured at fair value on a recurring basis by level within the fair value hierarchy:</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228"/>
        <w:gridCol w:w="346"/>
        <w:gridCol w:w="211"/>
        <w:gridCol w:w="676"/>
        <w:gridCol w:w="346"/>
        <w:gridCol w:w="211"/>
        <w:gridCol w:w="676"/>
        <w:gridCol w:w="346"/>
        <w:gridCol w:w="211"/>
        <w:gridCol w:w="571"/>
        <w:gridCol w:w="346"/>
        <w:gridCol w:w="211"/>
        <w:gridCol w:w="826"/>
      </w:tblGrid>
      <w:tr>
        <w:trPr/>
        <w:tc>
          <w:tcPr>
            <w:tcW w:w="5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319780" cy="175260"/>
                      <wp:effectExtent l="0" t="0" r="0" b="0"/>
                      <wp:wrapNone/>
                      <wp:docPr id="68" name="Frame67"/>
                      <a:graphic xmlns:a="http://schemas.openxmlformats.org/drawingml/2006/main">
                        <a:graphicData uri="http://schemas.microsoft.com/office/word/2010/wordprocessingShape">
                          <wps:wsp>
                            <wps:cNvSpPr txBox="1"/>
                            <wps:spPr>
                              <a:xfrm>
                                <a:off x="0" y="0"/>
                                <a:ext cx="3319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29260" cy="175260"/>
                      <wp:effectExtent l="0" t="0" r="0" b="0"/>
                      <wp:wrapNone/>
                      <wp:docPr id="71" name="Frame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29260" cy="175260"/>
                      <wp:effectExtent l="0" t="0" r="0" b="0"/>
                      <wp:wrapNone/>
                      <wp:docPr id="74" name="Frame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62585" cy="175260"/>
                      <wp:effectExtent l="0" t="0" r="0" b="0"/>
                      <wp:wrapNone/>
                      <wp:docPr id="77" name="Frame7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24510" cy="175260"/>
                      <wp:effectExtent l="0" t="0" r="0" b="0"/>
                      <wp:wrapNone/>
                      <wp:docPr id="80" name="Frame7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63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52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5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 (included in 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15,549</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government debt securities (included in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89,491</w:t>
            </w:r>
          </w:p>
        </w:tc>
      </w:tr>
      <w:tr>
        <w:trPr/>
        <w:tc>
          <w:tcPr>
            <w:tcW w:w="522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89,491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105,040</w:t>
            </w:r>
          </w:p>
        </w:tc>
      </w:tr>
      <w:tr>
        <w:trPr/>
        <w:tc>
          <w:tcPr>
            <w:tcW w:w="52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522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 (Note 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2,460</w:t>
            </w:r>
          </w:p>
        </w:tc>
      </w:tr>
      <w:tr>
        <w:trPr/>
        <w:tc>
          <w:tcPr>
            <w:tcW w:w="522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2,460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333"/>
        <w:gridCol w:w="346"/>
        <w:gridCol w:w="211"/>
        <w:gridCol w:w="676"/>
        <w:gridCol w:w="346"/>
        <w:gridCol w:w="211"/>
        <w:gridCol w:w="676"/>
        <w:gridCol w:w="346"/>
        <w:gridCol w:w="211"/>
        <w:gridCol w:w="571"/>
        <w:gridCol w:w="346"/>
        <w:gridCol w:w="211"/>
        <w:gridCol w:w="721"/>
      </w:tblGrid>
      <w:tr>
        <w:trPr/>
        <w:tc>
          <w:tcPr>
            <w:tcW w:w="5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386455" cy="175260"/>
                      <wp:effectExtent l="0" t="0" r="0" b="0"/>
                      <wp:wrapNone/>
                      <wp:docPr id="81" name="Frame80"/>
                      <a:graphic xmlns:a="http://schemas.openxmlformats.org/drawingml/2006/main">
                        <a:graphicData uri="http://schemas.microsoft.com/office/word/2010/wordprocessingShape">
                          <wps:wsp>
                            <wps:cNvSpPr txBox="1"/>
                            <wps:spPr>
                              <a:xfrm>
                                <a:off x="0" y="0"/>
                                <a:ext cx="3386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29260" cy="175260"/>
                      <wp:effectExtent l="0" t="0" r="0" b="0"/>
                      <wp:wrapNone/>
                      <wp:docPr id="84" name="Frame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29260" cy="175260"/>
                      <wp:effectExtent l="0" t="0" r="0" b="0"/>
                      <wp:wrapNone/>
                      <wp:docPr id="87" name="Frame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62585" cy="175260"/>
                      <wp:effectExtent l="0" t="0" r="0" b="0"/>
                      <wp:wrapNone/>
                      <wp:docPr id="90" name="Frame8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57835" cy="175260"/>
                      <wp:effectExtent l="0" t="0" r="0" b="0"/>
                      <wp:wrapNone/>
                      <wp:docPr id="93" name="Frame9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52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533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33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r>
      <w:tr>
        <w:trPr/>
        <w:tc>
          <w:tcPr>
            <w:tcW w:w="5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 (included in 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12,789</w:t>
            </w:r>
          </w:p>
        </w:tc>
      </w:tr>
      <w:tr>
        <w:trPr/>
        <w:tc>
          <w:tcPr>
            <w:tcW w:w="5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government debt securities (included in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71,822</w:t>
            </w:r>
          </w:p>
        </w:tc>
      </w:tr>
      <w:tr>
        <w:trPr/>
        <w:tc>
          <w:tcPr>
            <w:tcW w:w="53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12,789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71,822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84,611</w:t>
            </w:r>
          </w:p>
        </w:tc>
      </w:tr>
      <w:tr>
        <w:trPr/>
        <w:tc>
          <w:tcPr>
            <w:tcW w:w="533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3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 (Note 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2,749</w:t>
            </w:r>
          </w:p>
        </w:tc>
      </w:tr>
      <w:tr>
        <w:trPr/>
        <w:tc>
          <w:tcPr>
            <w:tcW w:w="53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2,749</w:t>
            </w:r>
          </w:p>
        </w:tc>
      </w:tr>
    </w:tbl>
    <w:p>
      <w:pPr>
        <w:pStyle w:val="TextBody"/>
        <w:bidi w:val="0"/>
        <w:spacing w:before="0" w:after="0"/>
        <w:ind w:left="0" w:right="0" w:hanging="0"/>
        <w:jc w:val="left"/>
        <w:rPr/>
      </w:pPr>
      <w:r>
        <w:rPr/>
        <w:t>​</w:t>
      </w:r>
    </w:p>
    <w:p>
      <w:pPr>
        <w:pStyle w:val="TextBody"/>
        <w:bidi w:val="0"/>
        <w:spacing w:before="24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Level 2 assets consist of corporate and government debt securities which are valued using market observable inputs, including the current interest rate and other characteristics for similar types of investments, whose fair value may not represent actual transactions of identical securities. There were no transfers between Levels 1, 2 or 3 for the periods presented.</w:t>
      </w:r>
    </w:p>
    <w:p>
      <w:pPr>
        <w:pStyle w:val="TextBody"/>
        <w:bidi w:val="0"/>
        <w:spacing w:before="0" w:after="240"/>
        <w:ind w:left="0" w:right="0" w:firstLine="360"/>
        <w:jc w:val="both"/>
        <w:rPr>
          <w:color w:val="231F20"/>
          <w:spacing w:val="-10"/>
        </w:rPr>
      </w:pPr>
      <w:r>
        <w:rPr>
          <w:color w:val="231F20"/>
          <w:spacing w:val="-10"/>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color w:val="231F20"/>
          <w:spacing w:val="-10"/>
          <w:sz w:val="20"/>
        </w:rPr>
        <w:t>The Level 3 liabilities consist of the derivative liability associated with the Series A Preferred Stock, of which the fair values were measured upon issuance of the Series A Preferred Stock and are remeasured to fair value at each reporting period. The valuation methodology and underlying assumptions are discussed further in Note 8 – “</w:t>
      </w:r>
      <w:r>
        <w:rPr>
          <w:rFonts w:ascii="Times New Roman;Times;serif" w:hAnsi="Times New Roman;Times;serif"/>
          <w:i/>
          <w:color w:val="231F20"/>
          <w:spacing w:val="-10"/>
          <w:sz w:val="20"/>
        </w:rPr>
        <w:t>Derivative Liability.”</w:t>
      </w:r>
      <w:r>
        <w:rPr>
          <w:rFonts w:ascii="Times New Roman;Times;serif" w:hAnsi="Times New Roman;Times;serif"/>
          <w:color w:val="231F20"/>
          <w:spacing w:val="-10"/>
          <w:sz w:val="20"/>
        </w:rPr>
        <w:t xml:space="preserve"> Significant change to the inputs used in determining the fair value would result in significant changes to the fair value measurement.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839" w:name="_15603f2b_6ccf_4b8e_80a8_10db690c3578_5"/>
      <w:bookmarkStart w:id="840" w:name="_15603f2b_6ccf_4b8e_80a8_10db690c3578_4"/>
      <w:bookmarkStart w:id="841" w:name="_15603f2b_6ccf_4b8e_80a8_10db690c3578_3"/>
      <w:bookmarkStart w:id="842" w:name="_15603f2b_6ccf_4b8e_80a8_10db690c3578_2"/>
      <w:bookmarkStart w:id="843" w:name="_15603f2b_6ccf_4b8e_80a8_10db690c3578"/>
      <w:bookmarkStart w:id="844" w:name="Tc_r3baJ_AD8kqTV7XdRf04ZQ_6_11"/>
      <w:bookmarkStart w:id="845" w:name="Tc_m4ZTrwsYOkagvzBFEK6-Ug_6_8"/>
      <w:bookmarkStart w:id="846" w:name="Tc_C77m7fNAaEa91wMMihn3iQ_6_5"/>
      <w:bookmarkStart w:id="847" w:name="Tc_uAQOKDuOqU-vds3a3WhN5Q_6_2"/>
      <w:bookmarkStart w:id="848" w:name="Tc_spXIUKrirU25c_TKGFXMNg_6_0"/>
      <w:bookmarkStart w:id="849" w:name="Tc_vWODR7d-fk29BqTivS1Sqg_5_9"/>
      <w:bookmarkStart w:id="850" w:name="Tc_pOlWY-AiE0WTxUIYGf6gmA_5_0"/>
      <w:bookmarkStart w:id="851" w:name="Tc_WPtqTCqWYkCuugwYSa-1Yw_4_11"/>
      <w:bookmarkStart w:id="852" w:name="Tc_qkdChH0bXEeJ-Lodm94tfg_4_8"/>
      <w:bookmarkStart w:id="853" w:name="Tc_HshCYcK5K0OWfHsMA5Kq8w_4_5"/>
      <w:bookmarkStart w:id="854" w:name="Tc_lMlMTsjDHEqaTC0TiQVJ4w_4_2"/>
      <w:bookmarkStart w:id="855" w:name="Tc_AopKnmRcUkKdaJwBvOYe6g_4_0"/>
      <w:bookmarkStart w:id="856" w:name="Tc_SPYljtMRDE2HBUu9A0QCtQ_3_11"/>
      <w:bookmarkStart w:id="857" w:name="Tc_qIqs8lul5E28CRg4xaP9pA_3_8"/>
      <w:bookmarkStart w:id="858" w:name="Tc_Sx90xebTOEeQOqoeqy3cwQ_3_5"/>
      <w:bookmarkStart w:id="859" w:name="Tc_w7JpUnREvE68-Kvz0z8STA_3_2"/>
      <w:bookmarkStart w:id="860" w:name="Tc_v4Te4vaz3EuX7ppQG0x8ow_3_0"/>
      <w:bookmarkStart w:id="861" w:name="Tc_AbkTKecgjU2HjsMysGQGVg_2_11"/>
      <w:bookmarkStart w:id="862" w:name="Tc_kTH3P7Ije0uL9lTPD0s2VA_2_8"/>
      <w:bookmarkStart w:id="863" w:name="Tc_xZ_IPkQY9k2IhGAcRjhv1w_2_5"/>
      <w:bookmarkStart w:id="864" w:name="Tc_boY_GNi0oUqQIvJiPQMIjA_2_2"/>
      <w:bookmarkStart w:id="865" w:name="Tc_vriYsNgV_UaVZIwJSYRhdQ_1_2"/>
      <w:bookmarkStart w:id="866" w:name="_ea720ae7_1334_460a_a40b_2225d5d6706e"/>
      <w:bookmarkStart w:id="867" w:name="Tc_-CD3XpZd6kG_QPC3L_61Iw_6_11"/>
      <w:bookmarkStart w:id="868" w:name="Tc_3yC52E6wWEq4xeFZ9lDRZg_6_8"/>
      <w:bookmarkStart w:id="869" w:name="Tc_dED6wokkekqv9WYobz36aQ_6_5"/>
      <w:bookmarkStart w:id="870" w:name="Tc_EkGhxcdUyku2IjcMbzgRuw_6_2"/>
      <w:bookmarkStart w:id="871" w:name="Tc_yfM4jPaQjEy4iovnIB0jiA_6_0"/>
      <w:bookmarkStart w:id="872" w:name="Tc_Tzdq1a54K0qjDU3A3Zr3Jg_5_6"/>
      <w:bookmarkStart w:id="873" w:name="Tc_JImvnbqMckeb57bTVHySYQ_5_0"/>
      <w:bookmarkStart w:id="874" w:name="Tc_nJKIGGO8R0uWBtbI1blAkg_4_11"/>
      <w:bookmarkStart w:id="875" w:name="Tc_9Aw0x0R5QEqxOgY3DrwxHQ_4_8"/>
      <w:bookmarkStart w:id="876" w:name="Tc_VXc3CCDmqk6PDd80VtU3Zg_4_5"/>
      <w:bookmarkStart w:id="877" w:name="Tc_Ho-1taBoWUa6m2XYe9aTVg_4_2"/>
      <w:bookmarkStart w:id="878" w:name="Tc_r-IVJ4fh9kSsHbSmfbyrUQ_4_0"/>
      <w:bookmarkStart w:id="879" w:name="Tc_1IJ-7f66kkaA_32LyrhBzQ_3_11"/>
      <w:bookmarkStart w:id="880" w:name="Tc_WbDHODNOZ0yJUMFhZ1zgwg_3_8"/>
      <w:bookmarkStart w:id="881" w:name="Tc_fr86av6f-0WpoypdadDoXg_3_5"/>
      <w:bookmarkStart w:id="882" w:name="Tc_Z_NiFCzNdEKRBfpH7iPfCw_3_2"/>
      <w:bookmarkStart w:id="883" w:name="Tc_CCKPbif0wUKN8BxwNUdJpw_3_0"/>
      <w:bookmarkStart w:id="884" w:name="Tc_PmHdhiuRoE2ksMimqie65w_2_11"/>
      <w:bookmarkStart w:id="885" w:name="Tc_u4W2Tr4WxEqltYBQNBqppA_2_8"/>
      <w:bookmarkStart w:id="886" w:name="Tc_7gXnXqQq-E6U8WP7qNFtUg_2_5"/>
      <w:bookmarkStart w:id="887" w:name="Tc_fy80biUxXkKYjzLTvX0Tvg_2_2"/>
      <w:bookmarkStart w:id="888" w:name="Tc_AVgb8n_B8EGQV859ByWzvA_1_2"/>
      <w:bookmarkStart w:id="889" w:name="_15542978_b619_4a76_8f18_2965ed0f28da"/>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r>
        <w:rPr>
          <w:rFonts w:ascii="Times New Roman;Times;serif" w:hAnsi="Times New Roman;Times;serif"/>
          <w:b/>
          <w:sz w:val="20"/>
        </w:rPr>
        <w:t>5. Marketable Securities and Strategic Investments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Marketable Securities</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following is a summary of the Company’s marketable securities as of June 30, 2026 and December 31, 2025:</w:t>
      </w:r>
    </w:p>
    <w:p>
      <w:pPr>
        <w:pStyle w:val="TextBody"/>
        <w:bidi w:val="0"/>
        <w:spacing w:before="0" w:after="0"/>
        <w:ind w:left="0" w:right="0" w:hanging="0"/>
        <w:jc w:val="left"/>
        <w:rPr/>
      </w:pPr>
      <w:r>
        <w:rPr/>
        <w:t>​</w:t>
      </w:r>
    </w:p>
    <w:tbl>
      <w:tblPr>
        <w:tblW w:w="7386" w:type="dxa"/>
        <w:jc w:val="left"/>
        <w:tblInd w:w="0" w:type="dxa"/>
        <w:tblLayout w:type="fixed"/>
        <w:tblCellMar>
          <w:top w:w="0" w:type="dxa"/>
          <w:left w:w="0" w:type="dxa"/>
          <w:bottom w:w="0" w:type="dxa"/>
          <w:right w:w="0" w:type="dxa"/>
        </w:tblCellMar>
      </w:tblPr>
      <w:tblGrid>
        <w:gridCol w:w="2341"/>
        <w:gridCol w:w="346"/>
        <w:gridCol w:w="211"/>
        <w:gridCol w:w="676"/>
        <w:gridCol w:w="346"/>
        <w:gridCol w:w="335"/>
        <w:gridCol w:w="551"/>
        <w:gridCol w:w="346"/>
        <w:gridCol w:w="318"/>
        <w:gridCol w:w="568"/>
        <w:gridCol w:w="346"/>
        <w:gridCol w:w="211"/>
        <w:gridCol w:w="791"/>
      </w:tblGrid>
      <w:tr>
        <w:trPr/>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486535" cy="175260"/>
                      <wp:effectExtent l="0" t="0" r="0" b="0"/>
                      <wp:wrapNone/>
                      <wp:docPr id="94" name="Frame93"/>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29260" cy="175260"/>
                      <wp:effectExtent l="0" t="0" r="0" b="0"/>
                      <wp:wrapNone/>
                      <wp:docPr id="97" name="Frame9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2725" cy="175260"/>
                      <wp:effectExtent l="0" t="0" r="0" b="0"/>
                      <wp:wrapNone/>
                      <wp:docPr id="99" name="Frame98"/>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49885" cy="175260"/>
                      <wp:effectExtent l="0" t="0" r="0" b="0"/>
                      <wp:wrapNone/>
                      <wp:docPr id="100" name="Frame99"/>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1930" cy="175260"/>
                      <wp:effectExtent l="0" t="0" r="0" b="0"/>
                      <wp:wrapNone/>
                      <wp:docPr id="102" name="Frame101"/>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60680" cy="175260"/>
                      <wp:effectExtent l="0" t="0" r="0" b="0"/>
                      <wp:wrapNone/>
                      <wp:docPr id="103" name="Frame102"/>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02285" cy="175260"/>
                      <wp:effectExtent l="0" t="0" r="0" b="0"/>
                      <wp:wrapNone/>
                      <wp:docPr id="106" name="Frame105"/>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69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rPr/>
            </w:pPr>
            <w:r>
              <w:rPr/>
              <w:t>  ​ ​ ​</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3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center"/>
              <w:rPr/>
            </w:pPr>
            <w:r>
              <w:rPr/>
              <w:t>​</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78,375</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78,305</w:t>
            </w:r>
          </w:p>
        </w:tc>
      </w:tr>
      <w:tr>
        <w:trPr/>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debt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11,197</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11,186</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89,572</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89,491</w:t>
            </w:r>
          </w:p>
        </w:tc>
      </w:tr>
    </w:tbl>
    <w:p>
      <w:pPr>
        <w:pStyle w:val="TextBody"/>
        <w:bidi w:val="0"/>
        <w:spacing w:before="0" w:after="0"/>
        <w:ind w:left="0" w:right="0" w:hanging="0"/>
        <w:jc w:val="left"/>
        <w:rPr/>
      </w:pPr>
      <w:r>
        <w:rPr/>
        <w:t>​</w:t>
      </w:r>
    </w:p>
    <w:tbl>
      <w:tblPr>
        <w:tblW w:w="7386" w:type="dxa"/>
        <w:jc w:val="left"/>
        <w:tblInd w:w="0" w:type="dxa"/>
        <w:tblLayout w:type="fixed"/>
        <w:tblCellMar>
          <w:top w:w="0" w:type="dxa"/>
          <w:left w:w="0" w:type="dxa"/>
          <w:bottom w:w="0" w:type="dxa"/>
          <w:right w:w="0" w:type="dxa"/>
        </w:tblCellMar>
      </w:tblPr>
      <w:tblGrid>
        <w:gridCol w:w="2341"/>
        <w:gridCol w:w="346"/>
        <w:gridCol w:w="211"/>
        <w:gridCol w:w="676"/>
        <w:gridCol w:w="346"/>
        <w:gridCol w:w="354"/>
        <w:gridCol w:w="532"/>
        <w:gridCol w:w="346"/>
        <w:gridCol w:w="335"/>
        <w:gridCol w:w="551"/>
        <w:gridCol w:w="346"/>
        <w:gridCol w:w="211"/>
        <w:gridCol w:w="791"/>
      </w:tblGrid>
      <w:tr>
        <w:trPr/>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486535" cy="175260"/>
                      <wp:effectExtent l="0" t="0" r="0" b="0"/>
                      <wp:wrapNone/>
                      <wp:docPr id="107" name="Frame106"/>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29260" cy="175260"/>
                      <wp:effectExtent l="0" t="0" r="0" b="0"/>
                      <wp:wrapNone/>
                      <wp:docPr id="110" name="Frame1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24790" cy="175260"/>
                      <wp:effectExtent l="0" t="0" r="0" b="0"/>
                      <wp:wrapNone/>
                      <wp:docPr id="112" name="Frame111"/>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37820" cy="175260"/>
                      <wp:effectExtent l="0" t="0" r="0" b="0"/>
                      <wp:wrapNone/>
                      <wp:docPr id="113" name="Frame112"/>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2725" cy="175260"/>
                      <wp:effectExtent l="0" t="0" r="0" b="0"/>
                      <wp:wrapNone/>
                      <wp:docPr id="115" name="Frame114"/>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49885" cy="175260"/>
                      <wp:effectExtent l="0" t="0" r="0" b="0"/>
                      <wp:wrapNone/>
                      <wp:docPr id="116" name="Frame115"/>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02285" cy="175260"/>
                      <wp:effectExtent l="0" t="0" r="0" b="0"/>
                      <wp:wrapNone/>
                      <wp:docPr id="119" name="Frame118"/>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69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3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rPr/>
            </w:pPr>
            <w:r>
              <w:rPr/>
              <w:t>  ​ ​ ​</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3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center"/>
              <w:rPr/>
            </w:pPr>
            <w:r>
              <w:rPr/>
              <w:t>​</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69,308</w:t>
            </w:r>
          </w:p>
        </w:tc>
        <w:tc>
          <w:tcPr>
            <w:tcW w:w="34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69,366</w:t>
            </w:r>
          </w:p>
        </w:tc>
      </w:tr>
      <w:tr>
        <w:trPr/>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debt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2,454</w:t>
            </w:r>
          </w:p>
        </w:tc>
        <w:tc>
          <w:tcPr>
            <w:tcW w:w="346" w:type="dxa"/>
            <w:tcBorders/>
            <w:vAlign w:val="center"/>
          </w:tcPr>
          <w:p>
            <w:pPr>
              <w:pStyle w:val="TableContents"/>
              <w:bidi w:val="0"/>
              <w:spacing w:before="0" w:after="0"/>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2,456</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71,762</w:t>
            </w:r>
          </w:p>
        </w:tc>
        <w:tc>
          <w:tcPr>
            <w:tcW w:w="346" w:type="dxa"/>
            <w:tcBorders/>
            <w:shd w:fill="CCEEFF" w:val="clear"/>
            <w:vAlign w:val="center"/>
          </w:tcPr>
          <w:p>
            <w:pPr>
              <w:pStyle w:val="TableContents"/>
              <w:bidi w:val="0"/>
              <w:spacing w:before="0" w:after="0"/>
              <w:ind w:left="0" w:right="0" w:hanging="0"/>
              <w:jc w:val="left"/>
              <w:rPr/>
            </w:pPr>
            <w:r>
              <w:rPr/>
              <w:t>​</w:t>
            </w:r>
          </w:p>
        </w:tc>
        <w:tc>
          <w:tcPr>
            <w:tcW w:w="3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71,822</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The Company believes it is more likely than not that its marketable securities in an unrealized loss position will be held until maturity or the recovery of the cost basis of the investment. To date, the Company has not recorded any allowance for credit losses on its investment securities. The Company determined that the unrealized losses were not attributed to credit risk but were primarily driven by the broader change in interest rates. As of June 30, 2026, $7.1 million of the Company’s marketable securities had maturities of 12 to 36 months while the remaining marketable securities had maturities of less than 12 months. </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For the three and six months ended June 30, 2026 and 2025, the Company did not recognize any realized gains or losses on its marketable securities.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Strategic Investments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Company’s long-term strategic investments as of December 31, 2025 represented investments made in Vivasure in 2022, 2021 and 2020 that were originally recorded at cost. There were no observable price changes, other than as described below, or impairments identified during the six months ended June 30, 2025 related to these investments.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On January 9, 2026, Haemonetics Corporation, a global medical technology company focused on delivering innovative solutions designed to improve patient outcomes, announced its acquisition of Vivasure. Vivasure was a strategic investment of the Company prior to its acquisition. In connection with the closing of the transaction, the Company is eligible to receive up to approximately $10.7 million of proceeds in 2026 associated with the transaction. During the six months ended June 30, 2026, the Company received proceeds of $4.8 million and the remainder may be received in 2026 based on the achievement of a milestone. For the six months ended June 30, 2026, the Company recognized a gain on the sale of strategic investments of $2.3 million. The Company may receive additional proceeds in the future associated with revenue earnouts based on the achievement of certain milestones.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890" w:name="Tc_xnt5t5PFu0yR0q2ZCWRaEw_6_5"/>
      <w:bookmarkStart w:id="891" w:name="Tc_QfBUOJ6IpkyZV6cEVUwbAA_6_2"/>
      <w:bookmarkStart w:id="892" w:name="Tc_p7_wgxAZrk-ES2pp39Wrqw_6_0"/>
      <w:bookmarkStart w:id="893" w:name="Tc_WRIP8ApFjEC7CEw0R8N3wg_5_0"/>
      <w:bookmarkStart w:id="894" w:name="Tc_j3rIJWlN-0Gdq4vMoFfyqQ_4_0"/>
      <w:bookmarkStart w:id="895" w:name="Tc_33tKUJWurU2ymgZZfAlB0Q_3_5"/>
      <w:bookmarkStart w:id="896" w:name="Tc_DYWlc5tKgUWxnDa0ta3-Tw_3_2"/>
      <w:bookmarkStart w:id="897" w:name="Tc_0zKSYx0Wck6Qdq78MdfjGg_3_0"/>
      <w:bookmarkStart w:id="898" w:name="Tc_i3ppTuflNUefGOhbf_7Lww_2_5"/>
      <w:bookmarkStart w:id="899" w:name="Tc_y0KcIfYSf0GmcD5F8nVetQ_2_2"/>
      <w:bookmarkStart w:id="900" w:name="Tc_dZO8QiAPpU-Mn3W71MfQLA_2_0"/>
      <w:bookmarkStart w:id="901" w:name="Tc_r70QEFVJQE-CyxQCcPHwhg_1_5"/>
      <w:bookmarkStart w:id="902" w:name="Tc_ZQO9s-vNT0SsCOFPtObg5w_1_2"/>
      <w:bookmarkStart w:id="903" w:name="Tc_reiXY5D07kS3D5-w0HtDkg_8_5"/>
      <w:bookmarkStart w:id="904" w:name="Tc_4Q9MMiPsq0yOr_Ma89dLBg_8_2"/>
      <w:bookmarkStart w:id="905" w:name="Tc_BXapaEnCV0mf5Aj3JIPqzw_8_0"/>
      <w:bookmarkStart w:id="906" w:name="Tc_wByEhl1DAkm9C2hjUXWu5w_7_0"/>
      <w:bookmarkStart w:id="907" w:name="Tc_pRwN8kL3RUynN2ZStfKucw_6_0"/>
      <w:bookmarkStart w:id="908" w:name="Tc_MHVwilzFg0CbVB9MX7oM2g_5_0"/>
      <w:bookmarkStart w:id="909" w:name="Tc_6zoS9CITbUShh1m8DvKgOA_4_0"/>
      <w:bookmarkStart w:id="910" w:name="Tc_jBo7-i7GYUGUofEy7d03_w_3_5"/>
      <w:bookmarkStart w:id="911" w:name="Tc__oW_TEmGAEmnJLV8Y7b-BQ_3_2"/>
      <w:bookmarkStart w:id="912" w:name="Tc_jLUCZIYPS0y6zT2QXuncQQ_3_0"/>
      <w:bookmarkStart w:id="913" w:name="Tc_D6l0EabgkUyYtQAHFzLNYw_2_5"/>
      <w:bookmarkStart w:id="914" w:name="Tc_KvF8twNWL0SYuHvDxSf06g_2_2"/>
      <w:bookmarkStart w:id="915" w:name="Tc_Pgji8bGzXE-yayjOp3TkLw_2_0"/>
      <w:bookmarkStart w:id="916" w:name="Tc_nDLfkv9B5km4dCxcXZHh_w_1_5"/>
      <w:bookmarkStart w:id="917" w:name="Tc_zrW1I51vKUOkp-zoJ_RHAg_1_2"/>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r>
        <w:rPr>
          <w:rFonts w:ascii="Times New Roman;Times;serif" w:hAnsi="Times New Roman;Times;serif"/>
          <w:b/>
          <w:sz w:val="20"/>
        </w:rPr>
        <w:t>6. Balance Sheet Components</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Property and Equipment, Net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Property and equipment, net consists of the following:</w:t>
      </w:r>
    </w:p>
    <w:p>
      <w:pPr>
        <w:pStyle w:val="TextBody"/>
        <w:bidi w:val="0"/>
        <w:spacing w:before="0" w:after="0"/>
        <w:ind w:left="0" w:right="0" w:hanging="0"/>
        <w:jc w:val="left"/>
        <w:rPr/>
      </w:pPr>
      <w:r>
        <w:rPr/>
        <w:t>​</w:t>
      </w:r>
    </w:p>
    <w:tbl>
      <w:tblPr>
        <w:tblW w:w="6830" w:type="dxa"/>
        <w:jc w:val="left"/>
        <w:tblInd w:w="0" w:type="dxa"/>
        <w:tblLayout w:type="fixed"/>
        <w:tblCellMar>
          <w:top w:w="0" w:type="dxa"/>
          <w:left w:w="0" w:type="dxa"/>
          <w:bottom w:w="0" w:type="dxa"/>
          <w:right w:w="0" w:type="dxa"/>
        </w:tblCellMar>
      </w:tblPr>
      <w:tblGrid>
        <w:gridCol w:w="4051"/>
        <w:gridCol w:w="346"/>
        <w:gridCol w:w="211"/>
        <w:gridCol w:w="691"/>
        <w:gridCol w:w="346"/>
        <w:gridCol w:w="278"/>
        <w:gridCol w:w="907"/>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572385" cy="175260"/>
                      <wp:effectExtent l="0" t="0" r="0" b="0"/>
                      <wp:wrapNone/>
                      <wp:docPr id="120" name="Frame119"/>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38785" cy="175260"/>
                      <wp:effectExtent l="0" t="0" r="0" b="0"/>
                      <wp:wrapNone/>
                      <wp:docPr id="123" name="Frame12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76530" cy="175260"/>
                      <wp:effectExtent l="0" t="0" r="0" b="0"/>
                      <wp:wrapNone/>
                      <wp:docPr id="125" name="Frame124"/>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75945" cy="175260"/>
                      <wp:effectExtent l="0" t="0" r="0" b="0"/>
                      <wp:wrapNone/>
                      <wp:docPr id="126" name="Frame125"/>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0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3,232</w:t>
            </w:r>
          </w:p>
        </w:tc>
        <w:tc>
          <w:tcPr>
            <w:tcW w:w="346" w:type="dxa"/>
            <w:tcBorders/>
            <w:shd w:fill="CCEEFF" w:val="clear"/>
            <w:vAlign w:val="center"/>
          </w:tcPr>
          <w:p>
            <w:pPr>
              <w:pStyle w:val="TableContents"/>
              <w:bidi w:val="0"/>
              <w:spacing w:before="0" w:after="0"/>
              <w:ind w:left="0" w:right="0" w:hanging="0"/>
              <w:jc w:val="center"/>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2,743</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furniture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3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righ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shd w:fill="CCEEFF" w:val="clear"/>
            <w:vAlign w:val="center"/>
          </w:tcPr>
          <w:p>
            <w:pPr>
              <w:pStyle w:val="TableContents"/>
              <w:bidi w:val="0"/>
              <w:spacing w:before="0" w:after="0"/>
              <w:ind w:left="0" w:right="0" w:hanging="0"/>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gross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3,862</w:t>
            </w:r>
          </w:p>
        </w:tc>
        <w:tc>
          <w:tcPr>
            <w:tcW w:w="346" w:type="dxa"/>
            <w:tcBorders/>
            <w:vAlign w:val="center"/>
          </w:tcPr>
          <w:p>
            <w:pPr>
              <w:pStyle w:val="TableContents"/>
              <w:bidi w:val="0"/>
              <w:spacing w:before="0" w:after="0"/>
              <w:ind w:left="0" w:right="0" w:hanging="0"/>
              <w:jc w:val="left"/>
              <w:rPr/>
            </w:pPr>
            <w:r>
              <w:rPr/>
              <w:t> </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3,346</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w:t>
            </w:r>
          </w:p>
        </w:tc>
        <w:tc>
          <w:tcPr>
            <w:tcW w:w="346" w:type="dxa"/>
            <w:tcBorders/>
            <w:shd w:fill="CCEEFF" w:val="clear"/>
            <w:vAlign w:val="center"/>
          </w:tcPr>
          <w:p>
            <w:pPr>
              <w:pStyle w:val="TableContents"/>
              <w:bidi w:val="0"/>
              <w:spacing w:before="0" w:after="0"/>
              <w:ind w:left="0" w:right="0" w:hanging="0"/>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Property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2,045</w:t>
            </w:r>
          </w:p>
        </w:tc>
        <w:tc>
          <w:tcPr>
            <w:tcW w:w="346"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7"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1,715</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As of June 30, 2026, $703,000 of equipment is not yet in service and has not yet commenced depreciation. </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Accrued Expenses and Other Liabilities</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Accrued expenses and other liabilities consist of the following:</w:t>
      </w:r>
    </w:p>
    <w:p>
      <w:pPr>
        <w:pStyle w:val="TextBody"/>
        <w:bidi w:val="0"/>
        <w:spacing w:before="0" w:after="0"/>
        <w:ind w:left="0" w:right="0" w:hanging="0"/>
        <w:jc w:val="left"/>
        <w:rPr/>
      </w:pPr>
      <w:r>
        <w:rPr/>
        <w:t>​</w:t>
      </w:r>
    </w:p>
    <w:tbl>
      <w:tblPr>
        <w:tblW w:w="6470" w:type="dxa"/>
        <w:jc w:val="left"/>
        <w:tblInd w:w="0" w:type="dxa"/>
        <w:tblLayout w:type="fixed"/>
        <w:tblCellMar>
          <w:top w:w="0" w:type="dxa"/>
          <w:left w:w="0" w:type="dxa"/>
          <w:bottom w:w="0" w:type="dxa"/>
          <w:right w:w="0" w:type="dxa"/>
        </w:tblCellMar>
      </w:tblPr>
      <w:tblGrid>
        <w:gridCol w:w="3811"/>
        <w:gridCol w:w="346"/>
        <w:gridCol w:w="211"/>
        <w:gridCol w:w="571"/>
        <w:gridCol w:w="346"/>
        <w:gridCol w:w="278"/>
        <w:gridCol w:w="907"/>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419985" cy="175260"/>
                      <wp:effectExtent l="0" t="0" r="0" b="0"/>
                      <wp:wrapNone/>
                      <wp:docPr id="127" name="Frame126"/>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62585" cy="175260"/>
                      <wp:effectExtent l="0" t="0" r="0" b="0"/>
                      <wp:wrapNone/>
                      <wp:docPr id="130" name="Frame12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76530" cy="175260"/>
                      <wp:effectExtent l="0" t="0" r="0" b="0"/>
                      <wp:wrapNone/>
                      <wp:docPr id="132" name="Frame131"/>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75945" cy="175260"/>
                      <wp:effectExtent l="0" t="0" r="0" b="0"/>
                      <wp:wrapNone/>
                      <wp:docPr id="133" name="Frame132"/>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8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Clinical trial accruals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3,087</w:t>
            </w:r>
          </w:p>
        </w:tc>
        <w:tc>
          <w:tcPr>
            <w:tcW w:w="346" w:type="dxa"/>
            <w:tcBorders/>
            <w:shd w:fill="CCEEFF" w:val="clear"/>
            <w:vAlign w:val="center"/>
          </w:tcPr>
          <w:p>
            <w:pPr>
              <w:pStyle w:val="TableContents"/>
              <w:bidi w:val="0"/>
              <w:spacing w:before="0" w:after="1"/>
              <w:ind w:left="0" w:right="0" w:hanging="0"/>
              <w:jc w:val="left"/>
              <w:rPr/>
            </w:pPr>
            <w:r>
              <w:rPr/>
              <w:t> </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4,151</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1,944</w:t>
            </w:r>
          </w:p>
        </w:tc>
        <w:tc>
          <w:tcPr>
            <w:tcW w:w="346" w:type="dxa"/>
            <w:tcBorders/>
            <w:vAlign w:val="center"/>
          </w:tcPr>
          <w:p>
            <w:pPr>
              <w:pStyle w:val="TableContents"/>
              <w:bidi w:val="0"/>
              <w:spacing w:before="0" w:after="1"/>
              <w:ind w:left="0" w:right="0" w:hanging="0"/>
              <w:jc w:val="center"/>
              <w:rPr/>
            </w:pPr>
            <w:r>
              <w:rPr/>
              <w:t>​</w:t>
            </w:r>
          </w:p>
        </w:tc>
        <w:tc>
          <w:tcPr>
            <w:tcW w:w="278"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4,160</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346" w:type="dxa"/>
            <w:tcBorders/>
            <w:shd w:fill="CCEEFF" w:val="clear"/>
            <w:vAlign w:val="center"/>
          </w:tcPr>
          <w:p>
            <w:pPr>
              <w:pStyle w:val="TableContents"/>
              <w:bidi w:val="0"/>
              <w:spacing w:before="0" w:after="1"/>
              <w:ind w:left="0" w:right="0" w:hanging="0"/>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1,579</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Accrued expenses and other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6,531</w:t>
            </w:r>
          </w:p>
        </w:tc>
        <w:tc>
          <w:tcPr>
            <w:tcW w:w="346" w:type="dxa"/>
            <w:tcBorders/>
            <w:vAlign w:val="center"/>
          </w:tcPr>
          <w:p>
            <w:pPr>
              <w:pStyle w:val="TableContents"/>
              <w:bidi w:val="0"/>
              <w:spacing w:before="0" w:after="1"/>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07"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9,890</w:t>
            </w:r>
          </w:p>
        </w:tc>
      </w:tr>
    </w:tbl>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7. Common and Preferred Stock</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Common Stock</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Company is authorized to issue up to 340,000,000 shares of Common Stock.</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Preferred Stock</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Company is authorized to issue 10,000,000 shares of preferred stock with a par value of $0.0001 per share. The board of directors of the Company (the “Board”) has the authority to issue preferred stock and to determine the rights, privileges, preferences, restrictions, and voting rights of those shares. As of June 30, 2026 and December 31, 2025, 200,000 shares of preferred stock were outstanding.</w:t>
      </w:r>
    </w:p>
    <w:p>
      <w:pPr>
        <w:pStyle w:val="TextBody"/>
        <w:bidi w:val="0"/>
        <w:spacing w:before="0" w:after="240"/>
        <w:ind w:left="0" w:right="0" w:hanging="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Series A Preferred Stock </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On October 24, 2025, concurrent with the execution of the Termination and ROFR Agreement, the Company and Terumo Medical Corporation (“TMC”) entered into a securities purchase agreement (the “Terumo Securities Purchase Agreement”), pursuant to which TMC purchased 200,000 shares of Series A Preferred Stock (“Preferred Shares”) at a purchase price equal to $100.00 per share for gross proceeds to the Company of $20.0 million. The closing of the sale of the Preferred Shares pursuant to the Terumo Securities Purchase Agreement occurred on November 7, 2025.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color w:val="231F20"/>
          <w:spacing w:val="-10"/>
          <w:sz w:val="20"/>
        </w:rPr>
        <w:t>The Series A Preferred Stock was accounted for as mezzanine equity in accordance with ASC 480 and the embedded conversion and redemption features were separated from the host instrument and recognized as derivative liability with change in fair value at each reporting period end recognized in the condensed consolidated statements of operations and comprehensive loss. (see Note 8 – “</w:t>
      </w:r>
      <w:r>
        <w:rPr>
          <w:rFonts w:ascii="Times New Roman;Times;serif" w:hAnsi="Times New Roman;Times;serif"/>
          <w:i/>
          <w:color w:val="231F20"/>
          <w:spacing w:val="-10"/>
          <w:sz w:val="20"/>
        </w:rPr>
        <w:t>Derivative Liability”</w:t>
      </w:r>
      <w:r>
        <w:rPr>
          <w:rFonts w:ascii="Times New Roman;Times;serif" w:hAnsi="Times New Roman;Times;serif"/>
          <w:color w:val="231F20"/>
          <w:spacing w:val="-10"/>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color w:val="231F20"/>
          <w:spacing w:val="-10"/>
          <w:sz w:val="20"/>
        </w:rPr>
      </w:pPr>
      <w:bookmarkStart w:id="918" w:name="Tc_BXw3czPRiku37pyXAmBYwQ_3_1"/>
      <w:bookmarkStart w:id="919" w:name="Tc_mKP2fGTYNka1DV2BwLWg_Q_3_0"/>
      <w:bookmarkStart w:id="920" w:name="Tc_zPh9WtzUY02zORamgG-KLg_2_0"/>
      <w:bookmarkStart w:id="921" w:name="Tc_Ge-VWbPLZEWOemRR0WZrzg_1_1"/>
      <w:bookmarkStart w:id="922" w:name="Tc_dtIuqqRXd0i_YdOhsTwV7w_1_0"/>
      <w:bookmarkStart w:id="923" w:name="_d4eb72c3_112d_4eb1_9e97_63ab5b784f86"/>
      <w:bookmarkEnd w:id="918"/>
      <w:bookmarkEnd w:id="919"/>
      <w:bookmarkEnd w:id="920"/>
      <w:bookmarkEnd w:id="921"/>
      <w:bookmarkEnd w:id="922"/>
      <w:bookmarkEnd w:id="923"/>
      <w:r>
        <w:rPr>
          <w:rFonts w:ascii="Times New Roman;Times;serif" w:hAnsi="Times New Roman;Times;serif"/>
          <w:color w:val="231F20"/>
          <w:spacing w:val="-10"/>
          <w:sz w:val="20"/>
        </w:rPr>
        <w:t>The Company utilized an option pricing valuation to determine the fair value of the Series A Preferred Stock at issuance. The valuation incorporated Level 3 inputs in the fair value hierarchy including the expected life of Series A Preferred Stock, expected volatility, and discount rate as well as probability-weighted outcomes. Assumptions used in the valuation also take into account the contractual terms as well as the quoted price of the Company’s common stock in an active market. Significant changes in any of these inputs in isolation would result in significant changes to the fair value measurement.</w:t>
      </w:r>
    </w:p>
    <w:p>
      <w:pPr>
        <w:pStyle w:val="TextBody"/>
        <w:bidi w:val="0"/>
        <w:spacing w:before="28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A roll-forward of the Series A Preferred Stock activity is presented below for the six months ended June 30, 2026 (in thousands):</w:t>
      </w:r>
    </w:p>
    <w:p>
      <w:pPr>
        <w:pStyle w:val="TextBody"/>
        <w:bidi w:val="0"/>
        <w:spacing w:before="100" w:after="100"/>
        <w:ind w:left="0" w:right="0" w:firstLine="360"/>
        <w:jc w:val="both"/>
        <w:rPr>
          <w:color w:val="231F20"/>
          <w:spacing w:val="-10"/>
        </w:rPr>
      </w:pPr>
      <w:r>
        <w:rPr>
          <w:color w:val="231F20"/>
          <w:spacing w:val="-10"/>
        </w:rPr>
        <w:t>​</w:t>
      </w:r>
    </w:p>
    <w:tbl>
      <w:tblPr>
        <w:tblW w:w="5683" w:type="dxa"/>
        <w:jc w:val="left"/>
        <w:tblInd w:w="0" w:type="dxa"/>
        <w:tblLayout w:type="fixed"/>
        <w:tblCellMar>
          <w:top w:w="0" w:type="dxa"/>
          <w:left w:w="0" w:type="dxa"/>
          <w:bottom w:w="0" w:type="dxa"/>
          <w:right w:w="0" w:type="dxa"/>
        </w:tblCellMar>
      </w:tblPr>
      <w:tblGrid>
        <w:gridCol w:w="4681"/>
        <w:gridCol w:w="211"/>
        <w:gridCol w:w="791"/>
      </w:tblGrid>
      <w:tr>
        <w:trPr/>
        <w:tc>
          <w:tcPr>
            <w:tcW w:w="4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972435" cy="175260"/>
                      <wp:effectExtent l="0" t="0" r="0" b="0"/>
                      <wp:wrapNone/>
                      <wp:docPr id="134" name="Frame133"/>
                      <a:graphic xmlns:a="http://schemas.openxmlformats.org/drawingml/2006/main">
                        <a:graphicData uri="http://schemas.microsoft.com/office/word/2010/wordprocessingShape">
                          <wps:wsp>
                            <wps:cNvSpPr txBox="1"/>
                            <wps:spPr>
                              <a:xfrm>
                                <a:off x="0" y="0"/>
                                <a:ext cx="297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02285" cy="175260"/>
                      <wp:effectExtent l="0" t="0" r="0" b="0"/>
                      <wp:wrapNone/>
                      <wp:docPr id="136" name="Frame135"/>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Beginning balance, January 1, 2026</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9,808</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 to carrying value of Series A Preferred Stock</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Ending balance, June 30, 2026</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10,097</w:t>
            </w:r>
          </w:p>
        </w:tc>
      </w:tr>
    </w:tbl>
    <w:p>
      <w:pPr>
        <w:pStyle w:val="TextBody"/>
        <w:bidi w:val="0"/>
        <w:spacing w:before="0" w:after="0"/>
        <w:ind w:left="0" w:right="0" w:hanging="0"/>
        <w:jc w:val="left"/>
        <w:rPr>
          <w:color w:val="231F20"/>
          <w:spacing w:val="-10"/>
        </w:rPr>
      </w:pPr>
      <w:r>
        <w:rPr>
          <w:color w:val="231F20"/>
          <w:spacing w:val="-10"/>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At</w:t>
      </w:r>
      <w:r>
        <w:rPr>
          <w:rFonts w:ascii="Times New Roman;Times;serif" w:hAnsi="Times New Roman;Times;serif"/>
          <w:sz w:val="20"/>
        </w:rPr>
        <w:t>-</w:t>
      </w:r>
      <w:r>
        <w:rPr>
          <w:rFonts w:ascii="Times New Roman;Times;serif" w:hAnsi="Times New Roman;Times;serif"/>
          <w:b/>
          <w:i/>
          <w:sz w:val="20"/>
        </w:rPr>
        <w:t>the</w:t>
      </w:r>
      <w:r>
        <w:rPr>
          <w:rFonts w:ascii="Times New Roman;Times;serif" w:hAnsi="Times New Roman;Times;serif"/>
          <w:sz w:val="20"/>
        </w:rPr>
        <w:t>-</w:t>
      </w:r>
      <w:r>
        <w:rPr>
          <w:rFonts w:ascii="Times New Roman;Times;serif" w:hAnsi="Times New Roman;Times;serif"/>
          <w:b/>
          <w:i/>
          <w:sz w:val="20"/>
        </w:rPr>
        <w:t>Market</w:t>
      </w:r>
      <w:r>
        <w:rPr>
          <w:rFonts w:ascii="Times New Roman;Times;serif" w:hAnsi="Times New Roman;Times;serif"/>
          <w:sz w:val="20"/>
        </w:rPr>
        <w:t xml:space="preserve"> </w:t>
      </w:r>
      <w:r>
        <w:rPr>
          <w:rFonts w:ascii="Times New Roman;Times;serif" w:hAnsi="Times New Roman;Times;serif"/>
          <w:b/>
          <w:i/>
          <w:sz w:val="20"/>
        </w:rPr>
        <w:t>Offering and Shelf Registration Statement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On August 12, 2024, the Company entered into a sales agreement (the “Sales Agreement”) with TD Securities (USA) LLC, as agent (“TD Cowen”), pursuant to which the Company may offer and sell, from time to time through TD Cowen, up to $100.0 million of shares of Common Stock (the “Offering”) by any method permitted by law and deemed to be an “at the market offering” as defined in Rule 415(a)(4) promulgated under the Securities Act. The Offering is being made pursuant to a shelf registration statement, filed with the SEC on May 15, 2024 and declared effective on May 24, 2024 (the “Shelf Registration Statement”), a base prospectus, dated May 24, 2024, included as part of the Shelf Registration Statement, and a prospectus supplement, dated August 12, 2024 filed with the SEC pursuant to Rule 424(b)(5) on August 12, 2024.</w:t>
      </w:r>
    </w:p>
    <w:p>
      <w:pPr>
        <w:pStyle w:val="TextBody"/>
        <w:bidi w:val="0"/>
        <w:spacing w:before="0" w:after="0"/>
        <w:ind w:left="0" w:right="0" w:firstLine="360"/>
        <w:jc w:val="both"/>
        <w:rPr>
          <w:color w:val="231F20"/>
          <w:spacing w:val="-10"/>
        </w:rPr>
      </w:pPr>
      <w:r>
        <w:rPr>
          <w:color w:val="231F20"/>
          <w:spacing w:val="-10"/>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During the six months ended June 30, 2026, the Company sold 1,451,439 shares of Common Stock under the Sales Agreement resulting in aggregate gross proceeds to the Company of approximately $6.0 million and net proceeds to the Company of approximately $5.9 million. As of June 30, 2026, the Company had up to $92.4 million of Common Stock available to sell under the Sales Agreement.</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8. Derivative Liability</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The Company assessed the Series A Preferred Stock features to determine whether any features are required to be bifurcated and separately accounted for as an embedded derivative. The Company concluded that certain conversion and redemption features meet the requirements to be separately accounted for as a bifurcated derivative. The Series A Preferred Stock was accounted for as mezzanine equity in accordance with ASC 480 and the embedded conversion and redemption features were separated from the host instrument and recognized as derivative liabilities with change in fair value at each reporting period end recognized in the condensed consolidated statements of operations and comprehensive loss. </w:t>
      </w:r>
    </w:p>
    <w:p>
      <w:pPr>
        <w:pStyle w:val="TextBody"/>
        <w:bidi w:val="0"/>
        <w:spacing w:before="0" w:after="0"/>
        <w:ind w:left="0" w:right="0" w:hanging="0"/>
        <w:jc w:val="both"/>
        <w:rPr>
          <w:color w:val="231F20"/>
          <w:spacing w:val="-10"/>
        </w:rPr>
      </w:pPr>
      <w:r>
        <w:rPr>
          <w:color w:val="231F20"/>
          <w:spacing w:val="-10"/>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Company performed a “with-and-without” scenario analysis to determine the fair value of the derivative liability by comparing the value of the Series A Preferred Stock including the bifurcated embedded derivatives to the value of the Series A Preferred Stock excluding them. The Company utilized an option pricing valuation with the expected life of Series A Preferred Stock, expected volatility, and discount rate as significant inputs as well as probability-weighted outcomes. Assumptions used in the valuation also take into account the contractual terms as well as the quoted price of the Common Stock in an active market. Significant changes in any of those inputs in isolation would result in significant changes to the fair value measurement.</w:t>
      </w:r>
    </w:p>
    <w:p>
      <w:pPr>
        <w:pStyle w:val="TextBody"/>
        <w:bidi w:val="0"/>
        <w:spacing w:before="0" w:after="0"/>
        <w:ind w:left="0" w:right="0" w:hanging="0"/>
        <w:jc w:val="left"/>
        <w:rPr>
          <w:color w:val="231F20"/>
          <w:spacing w:val="-10"/>
        </w:rPr>
      </w:pPr>
      <w:r>
        <w:rPr>
          <w:color w:val="231F20"/>
          <w:spacing w:val="-10"/>
        </w:rPr>
        <w:t>​</w:t>
      </w:r>
    </w:p>
    <w:p>
      <w:pPr>
        <w:pStyle w:val="TextBody"/>
        <w:bidi w:val="0"/>
        <w:spacing w:before="0" w:after="0"/>
        <w:ind w:left="0" w:right="0" w:hanging="0"/>
        <w:jc w:val="left"/>
        <w:rPr>
          <w:color w:val="231F20"/>
          <w:spacing w:val="-10"/>
        </w:rPr>
      </w:pPr>
      <w:r>
        <w:rPr>
          <w:color w:val="231F20"/>
          <w:spacing w:val="-1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color w:val="231F20"/>
          <w:spacing w:val="-10"/>
          <w:sz w:val="20"/>
        </w:rPr>
      </w:pPr>
      <w:bookmarkStart w:id="924" w:name="Tc_mKeDWCyYzkC1DYPZwY1AcQ_7_0"/>
      <w:bookmarkStart w:id="925" w:name="Tc_5lPFLgGUQEm9UpFQLYKA4g_6_5"/>
      <w:bookmarkStart w:id="926" w:name="Tc_R8vp6sD2CE69972quGYegQ_6_2"/>
      <w:bookmarkStart w:id="927" w:name="Tc_8WHmZnx8JkOT5at6OxDb2A_6_0"/>
      <w:bookmarkStart w:id="928" w:name="Tc_6Ms8mh4jEkSQnLotXtg1ww_5_5"/>
      <w:bookmarkStart w:id="929" w:name="Tc_gVfZKPVLoUakiIpXx5qEng_5_2"/>
      <w:bookmarkStart w:id="930" w:name="Tc_H471DmKgcUSYb-BIIxNTMg_5_0"/>
      <w:bookmarkStart w:id="931" w:name="Tc_SrLdzAUxuUiO9bmoUHWNGg_4_5"/>
      <w:bookmarkStart w:id="932" w:name="Tc_MJEiyOLRLE-gr-Lv9khuOg_4_2"/>
      <w:bookmarkStart w:id="933" w:name="Tc_blU3y3JPDE-gI4xhR2m1Vg_4_0"/>
      <w:bookmarkStart w:id="934" w:name="Tc_wsB7SFZh7UWAeZnDCd3iGQ_3_5"/>
      <w:bookmarkStart w:id="935" w:name="Tc_3cX8QGFQCkKG4GLdyP2b2A_3_2"/>
      <w:bookmarkStart w:id="936" w:name="Tc_-t8EZb_Nh06qdInjZISiHA_3_0"/>
      <w:bookmarkStart w:id="937" w:name="Tc_9ycNTP7kR0upsVjdOzQXOw_2_0"/>
      <w:bookmarkStart w:id="938" w:name="Tc_5F05L0sfgk-Yj23h-AOfaA_1_4"/>
      <w:bookmarkStart w:id="939" w:name="Tc_VR7UE9RJk0C6qeCcS_movA_1_1"/>
      <w:bookmarkStart w:id="940" w:name="Tc_vHDLIdEAHU2SRptKfIPpgA_4_1"/>
      <w:bookmarkStart w:id="941" w:name="Tc_jA2y549dZkevoXcOae8YvA_4_0"/>
      <w:bookmarkStart w:id="942" w:name="Tc_UCUi-_2U3k6ULElL_ZNjdA_3_0"/>
      <w:bookmarkStart w:id="943" w:name="Tc_uDsAKyxxREWVIMo3ONyvTQ_2_1"/>
      <w:bookmarkStart w:id="944" w:name="Tc_hdya7jin4kKGrtgPR9XNdA_2_0"/>
      <w:bookmarkStart w:id="945" w:name="Tc_CmCrGE_6ZUOR68BHlciQTw_1_2"/>
      <w:bookmarkStart w:id="946" w:name="_51305aa3_34cf_464e_9c85_93a8ee814638"/>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r>
        <w:rPr>
          <w:rFonts w:ascii="Times New Roman;Times;serif" w:hAnsi="Times New Roman;Times;serif"/>
          <w:color w:val="231F20"/>
          <w:spacing w:val="-10"/>
          <w:sz w:val="20"/>
        </w:rPr>
        <w:t>The following table presents changes in Level 3 liabilities measured at fair value for the six months ended June 30, 2026 (in thousands):</w:t>
      </w:r>
    </w:p>
    <w:tbl>
      <w:tblPr>
        <w:tblW w:w="5238" w:type="dxa"/>
        <w:jc w:val="left"/>
        <w:tblInd w:w="0" w:type="dxa"/>
        <w:tblLayout w:type="fixed"/>
        <w:tblCellMar>
          <w:top w:w="0" w:type="dxa"/>
          <w:left w:w="0" w:type="dxa"/>
          <w:bottom w:w="0" w:type="dxa"/>
          <w:right w:w="0" w:type="dxa"/>
        </w:tblCellMar>
      </w:tblPr>
      <w:tblGrid>
        <w:gridCol w:w="3856"/>
        <w:gridCol w:w="211"/>
        <w:gridCol w:w="1171"/>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448560" cy="175260"/>
                      <wp:effectExtent l="0" t="0" r="0" b="0"/>
                      <wp:wrapNone/>
                      <wp:docPr id="137" name="Frame136"/>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743585" cy="175260"/>
                      <wp:effectExtent l="0" t="0" r="0" b="0"/>
                      <wp:wrapNone/>
                      <wp:docPr id="139" name="Frame138"/>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Beginning balance, January 1, 2026</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2,749</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the fair value of derivative liability</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Ending balance, June 30, 2026</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2,460</w:t>
            </w:r>
          </w:p>
        </w:tc>
      </w:tr>
    </w:tbl>
    <w:p>
      <w:pPr>
        <w:pStyle w:val="TextBody"/>
        <w:bidi w:val="0"/>
        <w:spacing w:before="0" w:after="0"/>
        <w:ind w:left="0" w:right="0" w:firstLine="360"/>
        <w:jc w:val="both"/>
        <w:rPr>
          <w:color w:val="231F20"/>
          <w:spacing w:val="-10"/>
        </w:rPr>
      </w:pPr>
      <w:r>
        <w:rPr>
          <w:color w:val="231F20"/>
          <w:spacing w:val="-10"/>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option pricing valuation used to determine the fair value, used the following assumptions:</w:t>
      </w:r>
    </w:p>
    <w:p>
      <w:pPr>
        <w:pStyle w:val="TextBody"/>
        <w:bidi w:val="0"/>
        <w:spacing w:before="0" w:after="0"/>
        <w:ind w:left="0" w:right="0" w:hanging="0"/>
        <w:jc w:val="left"/>
        <w:rPr/>
      </w:pPr>
      <w:r>
        <w:rPr/>
        <w:t>​</w:t>
      </w:r>
    </w:p>
    <w:tbl>
      <w:tblPr>
        <w:tblW w:w="5874" w:type="dxa"/>
        <w:jc w:val="left"/>
        <w:tblInd w:w="0" w:type="dxa"/>
        <w:tblLayout w:type="fixed"/>
        <w:tblCellMar>
          <w:top w:w="0" w:type="dxa"/>
          <w:left w:w="0" w:type="dxa"/>
          <w:bottom w:w="0" w:type="dxa"/>
          <w:right w:w="0" w:type="dxa"/>
        </w:tblCellMar>
      </w:tblPr>
      <w:tblGrid>
        <w:gridCol w:w="2371"/>
        <w:gridCol w:w="1126"/>
        <w:gridCol w:w="361"/>
        <w:gridCol w:w="109"/>
        <w:gridCol w:w="1501"/>
        <w:gridCol w:w="406"/>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505585" cy="175260"/>
                      <wp:effectExtent l="0" t="0" r="0" b="0"/>
                      <wp:wrapNone/>
                      <wp:docPr id="140" name="Frame139"/>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715010" cy="175260"/>
                      <wp:effectExtent l="0" t="0" r="0" b="0"/>
                      <wp:wrapNone/>
                      <wp:docPr id="141" name="Frame140"/>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29235" cy="175260"/>
                      <wp:effectExtent l="0" t="0" r="0" b="0"/>
                      <wp:wrapNone/>
                      <wp:docPr id="142" name="Frame14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3"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953135" cy="175260"/>
                      <wp:effectExtent l="0" t="0" r="0" b="0"/>
                      <wp:wrapNone/>
                      <wp:docPr id="144" name="Frame143"/>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57810" cy="175260"/>
                      <wp:effectExtent l="0" t="0" r="0" b="0"/>
                      <wp:wrapNone/>
                      <wp:docPr id="145" name="Frame14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1"/>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406" w:type="dxa"/>
            <w:tcBorders/>
            <w:vAlign w:val="center"/>
          </w:tcPr>
          <w:p>
            <w:pPr>
              <w:pStyle w:val="TableContents"/>
              <w:bidi w:val="0"/>
              <w:spacing w:before="0" w:after="1"/>
              <w:ind w:left="0" w:right="0" w:hanging="0"/>
              <w:jc w:val="left"/>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right"/>
              <w:rPr/>
            </w:pPr>
            <w:r>
              <w:rPr/>
              <w:t>​</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right"/>
              <w:rPr/>
            </w:pPr>
            <w:r>
              <w:rPr/>
              <w:t>​</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right"/>
              <w:rPr/>
            </w:pPr>
            <w:r>
              <w:rPr/>
              <w:t>​</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 discount rate</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right"/>
              <w:rPr/>
            </w:pPr>
            <w:r>
              <w:rPr/>
              <w:t>​</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14.79</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of common stock</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w:t>
            </w:r>
          </w:p>
        </w:tc>
        <w:tc>
          <w:tcPr>
            <w:tcW w:w="36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w:t>
            </w:r>
          </w:p>
        </w:tc>
        <w:tc>
          <w:tcPr>
            <w:tcW w:w="406"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both"/>
        <w:rPr>
          <w:color w:val="231F20"/>
          <w:spacing w:val="-10"/>
        </w:rPr>
      </w:pPr>
      <w:r>
        <w:rPr>
          <w:color w:val="231F20"/>
          <w:spacing w:val="-10"/>
        </w:rPr>
        <w:t>​</w:t>
      </w:r>
    </w:p>
    <w:p>
      <w:pPr>
        <w:pStyle w:val="TextBody"/>
        <w:bidi w:val="0"/>
        <w:spacing w:before="0" w:after="240"/>
        <w:ind w:left="0" w:right="0" w:firstLine="360"/>
        <w:jc w:val="both"/>
        <w:rPr/>
      </w:pPr>
      <w:r>
        <w:rPr/>
        <w:t> ​</w:t>
      </w:r>
    </w:p>
    <w:p>
      <w:pPr>
        <w:pStyle w:val="TextBody"/>
        <w:bidi w:val="0"/>
        <w:spacing w:before="0" w:after="240"/>
        <w:ind w:left="0" w:right="0" w:firstLine="360"/>
        <w:jc w:val="both"/>
        <w:rPr>
          <w:rFonts w:ascii="Times New Roman;Times;serif" w:hAnsi="Times New Roman;Times;serif"/>
          <w:b w:val="false"/>
          <w:color w:val="231F20"/>
          <w:spacing w:val="-10"/>
          <w:sz w:val="20"/>
        </w:rPr>
      </w:pPr>
      <w:r>
        <w:rPr>
          <w:rFonts w:ascii="Times New Roman;Times;serif" w:hAnsi="Times New Roman;Times;serif"/>
          <w:b w:val="false"/>
          <w:color w:val="231F20"/>
          <w:spacing w:val="-10"/>
          <w:sz w:val="20"/>
        </w:rPr>
        <w:t>Each of these inputs is subjective and generally requires significant judgment and estimation by management: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val="false"/>
          <w:i/>
          <w:color w:val="231F20"/>
          <w:spacing w:val="-10"/>
          <w:sz w:val="20"/>
        </w:rPr>
        <w:t>Expected Term</w:t>
      </w:r>
      <w:r>
        <w:rPr>
          <w:rFonts w:ascii="Times New Roman;Times;serif" w:hAnsi="Times New Roman;Times;serif"/>
          <w:b/>
          <w:color w:val="231F20"/>
          <w:spacing w:val="-10"/>
          <w:sz w:val="20"/>
        </w:rPr>
        <w:t> </w:t>
      </w:r>
      <w:r>
        <w:rPr>
          <w:rFonts w:ascii="Times New Roman;Times;serif" w:hAnsi="Times New Roman;Times;serif"/>
          <w:b/>
          <w:sz w:val="20"/>
        </w:rPr>
        <w:t>—</w:t>
      </w:r>
      <w:r>
        <w:rPr>
          <w:rFonts w:ascii="Times New Roman;Times;serif" w:hAnsi="Times New Roman;Times;serif"/>
          <w:b/>
          <w:color w:val="231F20"/>
          <w:spacing w:val="-10"/>
          <w:sz w:val="20"/>
        </w:rPr>
        <w:t xml:space="preserve"> </w:t>
      </w:r>
      <w:r>
        <w:rPr>
          <w:rFonts w:ascii="Times New Roman;Times;serif" w:hAnsi="Times New Roman;Times;serif"/>
          <w:b w:val="false"/>
          <w:color w:val="231F20"/>
          <w:spacing w:val="-10"/>
          <w:sz w:val="20"/>
        </w:rPr>
        <w:t>The expected term represents the estimated time until the conversion or redemption events are achieved.</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val="false"/>
          <w:i/>
          <w:color w:val="231F20"/>
          <w:spacing w:val="-10"/>
          <w:sz w:val="20"/>
        </w:rPr>
        <w:t>Expected Volatility</w:t>
      </w:r>
      <w:r>
        <w:rPr>
          <w:rFonts w:ascii="Times New Roman;Times;serif" w:hAnsi="Times New Roman;Times;serif"/>
          <w:b/>
          <w:sz w:val="20"/>
        </w:rPr>
        <w:t> —</w:t>
      </w:r>
      <w:r>
        <w:rPr>
          <w:rFonts w:ascii="Times New Roman;Times;serif" w:hAnsi="Times New Roman;Times;serif"/>
          <w:b/>
          <w:color w:val="231F20"/>
          <w:spacing w:val="-10"/>
          <w:sz w:val="20"/>
        </w:rPr>
        <w:t xml:space="preserve"> </w:t>
      </w:r>
      <w:r>
        <w:rPr>
          <w:rFonts w:ascii="Times New Roman;Times;serif" w:hAnsi="Times New Roman;Times;serif"/>
          <w:b w:val="false"/>
          <w:color w:val="231F20"/>
          <w:spacing w:val="-10"/>
          <w:sz w:val="20"/>
        </w:rPr>
        <w:t xml:space="preserve">The Company derives volatility over the expected term using its own historical stock price volatility.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val="false"/>
          <w:i/>
          <w:color w:val="231F20"/>
          <w:spacing w:val="-10"/>
          <w:sz w:val="20"/>
        </w:rPr>
        <w:t>Risk-Free Interest Rate</w:t>
      </w:r>
      <w:r>
        <w:rPr>
          <w:rFonts w:ascii="Times New Roman;Times;serif" w:hAnsi="Times New Roman;Times;serif"/>
          <w:b/>
          <w:sz w:val="20"/>
        </w:rPr>
        <w:t> —</w:t>
      </w:r>
      <w:r>
        <w:rPr>
          <w:rFonts w:ascii="Times New Roman;Times;serif" w:hAnsi="Times New Roman;Times;serif"/>
          <w:b/>
          <w:color w:val="231F20"/>
          <w:spacing w:val="-10"/>
          <w:sz w:val="20"/>
        </w:rPr>
        <w:t xml:space="preserve"> </w:t>
      </w:r>
      <w:r>
        <w:rPr>
          <w:rFonts w:ascii="Times New Roman;Times;serif" w:hAnsi="Times New Roman;Times;serif"/>
          <w:b w:val="false"/>
          <w:color w:val="231F20"/>
          <w:spacing w:val="-10"/>
          <w:sz w:val="20"/>
        </w:rPr>
        <w:t>The risk-free interest rate is based on the U.S. Treasury yield curve in effect at the date of the remeasurement and all thereafter for zero-coupon U.S. Treasury notes with maturities commensurate with the remaining term.</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val="false"/>
          <w:i/>
          <w:color w:val="231F20"/>
          <w:spacing w:val="-10"/>
          <w:sz w:val="20"/>
        </w:rPr>
        <w:t>Expected Dividend Yield </w:t>
      </w:r>
      <w:r>
        <w:rPr>
          <w:rFonts w:ascii="Times New Roman;Times;serif" w:hAnsi="Times New Roman;Times;serif"/>
          <w:b/>
          <w:sz w:val="20"/>
        </w:rPr>
        <w:t>—</w:t>
      </w:r>
      <w:r>
        <w:rPr>
          <w:rFonts w:ascii="Times New Roman;Times;serif" w:hAnsi="Times New Roman;Times;serif"/>
          <w:b/>
          <w:color w:val="231F20"/>
          <w:spacing w:val="-10"/>
          <w:sz w:val="20"/>
        </w:rPr>
        <w:t xml:space="preserve"> </w:t>
      </w:r>
      <w:r>
        <w:rPr>
          <w:rFonts w:ascii="Times New Roman;Times;serif" w:hAnsi="Times New Roman;Times;serif"/>
          <w:b w:val="false"/>
          <w:color w:val="231F20"/>
          <w:spacing w:val="-10"/>
          <w:sz w:val="20"/>
        </w:rPr>
        <w:t>The expected dividend yield is zero as the Company has not paid, and the Company does not anticipate paying, any dividends on the Common Stock in the foreseeable future.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Market Discount Rate</w:t>
      </w:r>
      <w:r>
        <w:rPr>
          <w:rFonts w:ascii="Times New Roman;Times;serif" w:hAnsi="Times New Roman;Times;serif"/>
          <w:sz w:val="20"/>
        </w:rPr>
        <w:t xml:space="preserve"> – </w:t>
      </w:r>
      <w:r>
        <w:rPr>
          <w:rFonts w:ascii="Times New Roman;Times;serif" w:hAnsi="Times New Roman;Times;serif"/>
          <w:color w:val="231F20"/>
          <w:spacing w:val="-10"/>
          <w:sz w:val="20"/>
        </w:rPr>
        <w:t xml:space="preserve">The Company utilizes the S&amp;P corporate yield curve with a tenor commensurate with the expected term to estimate a discount rate applicable to the Company’s credit risk.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val="false"/>
          <w:i/>
          <w:color w:val="231F20"/>
          <w:spacing w:val="-10"/>
          <w:sz w:val="20"/>
        </w:rPr>
        <w:t>Fair Value of Common Stock </w:t>
      </w:r>
      <w:r>
        <w:rPr>
          <w:rFonts w:ascii="Times New Roman;Times;serif" w:hAnsi="Times New Roman;Times;serif"/>
          <w:b/>
          <w:sz w:val="20"/>
        </w:rPr>
        <w:t>—</w:t>
      </w:r>
      <w:r>
        <w:rPr>
          <w:rFonts w:ascii="Times New Roman;Times;serif" w:hAnsi="Times New Roman;Times;serif"/>
          <w:b/>
          <w:color w:val="231F20"/>
          <w:spacing w:val="-10"/>
          <w:sz w:val="20"/>
        </w:rPr>
        <w:t xml:space="preserve"> </w:t>
      </w:r>
      <w:r>
        <w:rPr>
          <w:rFonts w:ascii="Times New Roman;Times;serif" w:hAnsi="Times New Roman;Times;serif"/>
          <w:b w:val="false"/>
          <w:color w:val="231F20"/>
          <w:spacing w:val="-10"/>
          <w:sz w:val="20"/>
        </w:rPr>
        <w:t>The Company utilizes the price of its publicly-traded Common Stock as an input in determining the fair value of the derivative.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947" w:name="Tc_T6ZlZq9dr0WpvbTy34UGNA_13_0"/>
      <w:bookmarkStart w:id="948" w:name="Tc_Z5PGzEjnrEyjTwODREBWjQ_12_0"/>
      <w:bookmarkStart w:id="949" w:name="Tc_4XBx2U3VSUOVwVN3vmXDqw_11_8"/>
      <w:bookmarkStart w:id="950" w:name="Tc_v0-LS5wLe0CLk1GBFGtbvg_11_0"/>
      <w:bookmarkStart w:id="951" w:name="Tc_8Tnm_fzfVkC3Q99eg3dmNA_10_0"/>
      <w:bookmarkStart w:id="952" w:name="Tc_8bK0Q_QvLk6kB3oN4GUBQg_9_0"/>
      <w:bookmarkStart w:id="953" w:name="Tc_z1OnSJenRE-pWvY2Huz2DQ_8_6"/>
      <w:bookmarkStart w:id="954" w:name="Tc_ALx2BEut30aFlWUNgBlmww_8_0"/>
      <w:bookmarkStart w:id="955" w:name="Tc_ZhoDcd9gkE-jG02W5e4iew_7_8"/>
      <w:bookmarkStart w:id="956" w:name="Tc_A-I0C2_lKU6NEwUpzkH6pg_7_6"/>
      <w:bookmarkStart w:id="957" w:name="Tc_ATt1_aqwIE67bILXPslAbA_7_0"/>
      <w:bookmarkStart w:id="958" w:name="Tc_lkdHLFyIR0OHiz72wLzkhw_6_0"/>
      <w:bookmarkStart w:id="959" w:name="Tc_CYc74kjKQka8-muneRkDpA_5_8"/>
      <w:bookmarkStart w:id="960" w:name="Tc_Jo-yKWQ1p0CIjeMmdkO6ow_5_0"/>
      <w:bookmarkStart w:id="961" w:name="Tc_JjLRj3GKx0WvudoJ4RPEOA_4_0"/>
      <w:bookmarkStart w:id="962" w:name="Tc_nTaXw2lDCUK01Gj_vkMgWg_3_8"/>
      <w:bookmarkStart w:id="963" w:name="Tc_b-k61ly7L0OyA7HB2tmf6w_3_6"/>
      <w:bookmarkStart w:id="964" w:name="Tc_t95f5p78tkmoYgT9uIudRw_3_4"/>
      <w:bookmarkStart w:id="965" w:name="Tc_iC9B4KqD3UmjOVDwRxCQfQ_3_2"/>
      <w:bookmarkStart w:id="966" w:name="Tc_wKdRgixmUEyKcs2g4f2JuQ_2_8"/>
      <w:bookmarkStart w:id="967" w:name="Tc_DEy8HvtrV0OLaM1GY-ODUw_2_6"/>
      <w:bookmarkStart w:id="968" w:name="Tc_tfYUTrX7TEqyY-18fOsTZw_2_4"/>
      <w:bookmarkStart w:id="969" w:name="Tc_jAH77WwKn0qZczAodPjCgg_2_2"/>
      <w:bookmarkStart w:id="970" w:name="Tc_h6KOwXFbZU663oppJNNBpw_1_8"/>
      <w:bookmarkStart w:id="971" w:name="Tc_s7b7v6CrWkGSiRCTJa8hmQ_1_2"/>
      <w:bookmarkStart w:id="972" w:name="_f182cfde_7e33_4f0f_8816_233f3f63ee23"/>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r>
        <w:rPr>
          <w:rFonts w:ascii="Times New Roman;Times;serif" w:hAnsi="Times New Roman;Times;serif"/>
          <w:b/>
          <w:sz w:val="20"/>
        </w:rPr>
        <w:t>9. Warrants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Company evaluates its outstanding warrants to determine if the instruments qualify for equity or liability classification.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Summarized Outstanding Warrants</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following table summarizes outstanding warrants to purchase shares of Common Stock as of June 30, 2026 and December 31, 2025:</w:t>
      </w:r>
    </w:p>
    <w:tbl>
      <w:tblPr>
        <w:tblW w:w="8874" w:type="dxa"/>
        <w:jc w:val="left"/>
        <w:tblInd w:w="0" w:type="dxa"/>
        <w:tblLayout w:type="fixed"/>
        <w:tblCellMar>
          <w:top w:w="0" w:type="dxa"/>
          <w:left w:w="0" w:type="dxa"/>
          <w:bottom w:w="0" w:type="dxa"/>
          <w:right w:w="0" w:type="dxa"/>
        </w:tblCellMar>
      </w:tblPr>
      <w:tblGrid>
        <w:gridCol w:w="3016"/>
        <w:gridCol w:w="346"/>
        <w:gridCol w:w="931"/>
        <w:gridCol w:w="346"/>
        <w:gridCol w:w="1141"/>
        <w:gridCol w:w="346"/>
        <w:gridCol w:w="1336"/>
        <w:gridCol w:w="346"/>
        <w:gridCol w:w="106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915160" cy="175260"/>
                      <wp:effectExtent l="0" t="0" r="0" b="0"/>
                      <wp:wrapNone/>
                      <wp:docPr id="146" name="Frame145"/>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91185" cy="175260"/>
                      <wp:effectExtent l="0" t="0" r="0" b="0"/>
                      <wp:wrapNone/>
                      <wp:docPr id="148" name="Frame14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724535" cy="175260"/>
                      <wp:effectExtent l="0" t="0" r="0" b="0"/>
                      <wp:wrapNone/>
                      <wp:docPr id="150" name="Frame14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848360" cy="175260"/>
                      <wp:effectExtent l="0" t="0" r="0" b="0"/>
                      <wp:wrapNone/>
                      <wp:docPr id="152" name="Frame151"/>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76910" cy="175260"/>
                      <wp:effectExtent l="0" t="0" r="0" b="0"/>
                      <wp:wrapNone/>
                      <wp:docPr id="154" name="Frame15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41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46" w:type="dxa"/>
            <w:tcBorders/>
            <w:vAlign w:val="center"/>
          </w:tcPr>
          <w:p>
            <w:pPr>
              <w:pStyle w:val="TableContents"/>
              <w:bidi w:val="0"/>
              <w:spacing w:before="0" w:after="1"/>
              <w:ind w:left="0" w:right="0" w:hanging="0"/>
              <w:jc w:val="center"/>
              <w:rPr/>
            </w:pPr>
            <w:r>
              <w:rPr/>
              <w:t>  ​ ​ ​</w:t>
            </w:r>
          </w:p>
        </w:tc>
        <w:tc>
          <w:tcPr>
            <w:tcW w:w="13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center"/>
              <w:rPr/>
            </w:pPr>
            <w:r>
              <w:rPr/>
              <w:t>​</w:t>
            </w:r>
          </w:p>
        </w:tc>
        <w:tc>
          <w:tcPr>
            <w:tcW w:w="13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 in</w:t>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3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Equity-classified Warrants</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3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r>
      <w:tr>
        <w:trPr/>
        <w:tc>
          <w:tcPr>
            <w:tcW w:w="30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Pre-Funded Warrants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3,886,331</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5,136,363</w:t>
            </w:r>
          </w:p>
        </w:tc>
        <w:tc>
          <w:tcPr>
            <w:tcW w:w="346"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$0.0001</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Ligand Warrant (Note 13)</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2,000,000</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2,000,000</w:t>
            </w:r>
          </w:p>
        </w:tc>
        <w:tc>
          <w:tcPr>
            <w:tcW w:w="346" w:type="dxa"/>
            <w:tcBorders/>
            <w:shd w:fill="CCEEFF" w:val="clear"/>
            <w:vAlign w:val="center"/>
          </w:tcPr>
          <w:p>
            <w:pPr>
              <w:pStyle w:val="TableContents"/>
              <w:bidi w:val="0"/>
              <w:spacing w:before="0" w:after="1"/>
              <w:ind w:left="0" w:right="0" w:hanging="0"/>
              <w:jc w:val="left"/>
              <w:rPr/>
            </w:pPr>
            <w:r>
              <w:rPr/>
              <w:t>​</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9.09</w:t>
            </w:r>
          </w:p>
        </w:tc>
      </w:tr>
      <w:tr>
        <w:trPr/>
        <w:tc>
          <w:tcPr>
            <w:tcW w:w="30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Orchestra BioMed, Inc. Warrants</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507,841</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507,841</w:t>
            </w:r>
          </w:p>
        </w:tc>
        <w:tc>
          <w:tcPr>
            <w:tcW w:w="346"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 – $30.11</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0.93 – 2.07</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Hercules Warrants (Note 14)</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167,598</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167,598</w:t>
            </w:r>
          </w:p>
        </w:tc>
        <w:tc>
          <w:tcPr>
            <w:tcW w:w="346" w:type="dxa"/>
            <w:tcBorders/>
            <w:shd w:fill="CCEEFF" w:val="clear"/>
            <w:vAlign w:val="center"/>
          </w:tcPr>
          <w:p>
            <w:pPr>
              <w:pStyle w:val="TableContents"/>
              <w:bidi w:val="0"/>
              <w:spacing w:before="0" w:after="1"/>
              <w:ind w:left="0" w:right="0" w:hanging="0"/>
              <w:jc w:val="left"/>
              <w:rPr/>
            </w:pPr>
            <w:r>
              <w:rPr/>
              <w:t>​</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Avenue Warrants</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27,707</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27,707</w:t>
            </w:r>
          </w:p>
        </w:tc>
        <w:tc>
          <w:tcPr>
            <w:tcW w:w="346"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$7.67</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Non-employee Warrants (Note 10)</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60,000</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60,000</w:t>
            </w:r>
          </w:p>
        </w:tc>
        <w:tc>
          <w:tcPr>
            <w:tcW w:w="346" w:type="dxa"/>
            <w:tcBorders/>
            <w:shd w:fill="CCEEFF" w:val="clear"/>
            <w:vAlign w:val="center"/>
          </w:tcPr>
          <w:p>
            <w:pPr>
              <w:pStyle w:val="TableContents"/>
              <w:bidi w:val="0"/>
              <w:spacing w:before="0" w:after="1"/>
              <w:ind w:left="0" w:right="0" w:hanging="0"/>
              <w:jc w:val="left"/>
              <w:rPr/>
            </w:pPr>
            <w:r>
              <w:rPr/>
              <w:t>​</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w:t>
            </w:r>
          </w:p>
        </w:tc>
      </w:tr>
      <w:tr>
        <w:trPr/>
        <w:tc>
          <w:tcPr>
            <w:tcW w:w="30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Private Warrants Held by Sponsor</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750,000</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750,000</w:t>
            </w:r>
          </w:p>
        </w:tc>
        <w:tc>
          <w:tcPr>
            <w:tcW w:w="346"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w:t>
            </w:r>
          </w:p>
        </w:tc>
      </w:tr>
      <w:tr>
        <w:trPr/>
        <w:tc>
          <w:tcPr>
            <w:tcW w:w="30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Officer and Director Warrants</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635,000</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635,000</w:t>
            </w:r>
          </w:p>
        </w:tc>
        <w:tc>
          <w:tcPr>
            <w:tcW w:w="346" w:type="dxa"/>
            <w:tcBorders/>
            <w:shd w:fill="CCEEFF" w:val="clear"/>
            <w:vAlign w:val="center"/>
          </w:tcPr>
          <w:p>
            <w:pPr>
              <w:pStyle w:val="TableContents"/>
              <w:bidi w:val="0"/>
              <w:spacing w:before="0" w:after="1"/>
              <w:ind w:left="0" w:right="0" w:hanging="0"/>
              <w:jc w:val="left"/>
              <w:rPr/>
            </w:pPr>
            <w:r>
              <w:rPr/>
              <w:t>​</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Outstanding</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8,034,477</w:t>
            </w:r>
          </w:p>
        </w:tc>
        <w:tc>
          <w:tcPr>
            <w:tcW w:w="34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9,284,509</w:t>
            </w:r>
          </w:p>
        </w:tc>
        <w:tc>
          <w:tcPr>
            <w:tcW w:w="346"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firstLine="360"/>
        <w:jc w:val="both"/>
        <w:rPr/>
      </w:pPr>
      <w:r>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color w:val="231F20"/>
                <w:sz w:val="16"/>
              </w:rPr>
            </w:pPr>
            <w:r>
              <w:rPr>
                <w:rFonts w:ascii="Times New Roman;Times;serif" w:hAnsi="Times New Roman;Times;serif"/>
                <w:color w:val="231F20"/>
                <w:sz w:val="16"/>
              </w:rPr>
              <w:t>(1)</w:t>
            </w:r>
          </w:p>
        </w:tc>
        <w:tc>
          <w:tcPr>
            <w:tcW w:w="990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pacing w:val="-10"/>
                <w:sz w:val="16"/>
              </w:rPr>
              <w:t>In August 2025, the Company received $2.7499</w:t>
            </w:r>
            <w:r>
              <w:rPr>
                <w:caps w:val="false"/>
                <w:smallCaps w:val="false"/>
                <w:color w:val="231F20"/>
                <w:spacing w:val="-10"/>
              </w:rPr>
              <w:t xml:space="preserve"> </w:t>
            </w:r>
            <w:r>
              <w:rPr>
                <w:rFonts w:ascii="Times New Roman;Times;serif" w:hAnsi="Times New Roman;Times;serif"/>
                <w:b w:val="false"/>
                <w:i w:val="false"/>
                <w:caps w:val="false"/>
                <w:smallCaps w:val="false"/>
                <w:color w:val="231F20"/>
                <w:spacing w:val="-10"/>
                <w:sz w:val="16"/>
              </w:rPr>
              <w:t>per the Pre-Funded Warrant issued, or $14.1</w:t>
            </w:r>
            <w:r>
              <w:rPr>
                <w:caps w:val="false"/>
                <w:smallCaps w:val="false"/>
                <w:color w:val="231F20"/>
                <w:spacing w:val="-10"/>
              </w:rPr>
              <w:t xml:space="preserve"> </w:t>
            </w:r>
            <w:r>
              <w:rPr>
                <w:rFonts w:ascii="Times New Roman;Times;serif" w:hAnsi="Times New Roman;Times;serif"/>
                <w:b w:val="false"/>
                <w:i w:val="false"/>
                <w:caps w:val="false"/>
                <w:smallCaps w:val="false"/>
                <w:color w:val="231F20"/>
                <w:spacing w:val="-10"/>
                <w:sz w:val="16"/>
              </w:rPr>
              <w:t>million in aggregate proceeds. Each Pre-Funded Warrant may be exercised for $0.0001</w:t>
            </w:r>
            <w:r>
              <w:rPr>
                <w:caps w:val="false"/>
                <w:smallCaps w:val="false"/>
                <w:color w:val="231F20"/>
                <w:spacing w:val="-10"/>
              </w:rPr>
              <w:t xml:space="preserve"> </w:t>
            </w:r>
            <w:r>
              <w:rPr>
                <w:rFonts w:ascii="Times New Roman;Times;serif" w:hAnsi="Times New Roman;Times;serif"/>
                <w:b w:val="false"/>
                <w:i w:val="false"/>
                <w:caps w:val="false"/>
                <w:smallCaps w:val="false"/>
                <w:color w:val="231F20"/>
                <w:spacing w:val="-10"/>
                <w:sz w:val="16"/>
              </w:rPr>
              <w:t>per Pre-Funded Warrant. During the six months ended June 30, 2026, 1,250,032</w:t>
            </w:r>
            <w:r>
              <w:rPr>
                <w:caps w:val="false"/>
                <w:smallCaps w:val="false"/>
                <w:color w:val="231F20"/>
                <w:spacing w:val="-10"/>
              </w:rPr>
              <w:t xml:space="preserve"> </w:t>
            </w:r>
            <w:r>
              <w:rPr>
                <w:rFonts w:ascii="Times New Roman;Times;serif" w:hAnsi="Times New Roman;Times;serif"/>
                <w:b w:val="false"/>
                <w:i w:val="false"/>
                <w:caps w:val="false"/>
                <w:smallCaps w:val="false"/>
                <w:color w:val="231F20"/>
                <w:spacing w:val="-10"/>
                <w:sz w:val="16"/>
              </w:rPr>
              <w:t xml:space="preserve">Pre-Funded Warrants were exercised in a cashless transaction. </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Times New Roman;Times;serif" w:hAnsi="Times New Roman;Times;serif"/>
                <w:color w:val="231F20"/>
                <w:sz w:val="16"/>
              </w:rPr>
            </w:pPr>
            <w:r>
              <w:rPr>
                <w:rFonts w:ascii="Times New Roman;Times;serif" w:hAnsi="Times New Roman;Times;serif"/>
                <w:color w:val="231F20"/>
                <w:sz w:val="16"/>
              </w:rPr>
              <w:t>(2)</w:t>
            </w:r>
          </w:p>
        </w:tc>
        <w:tc>
          <w:tcPr>
            <w:tcW w:w="98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16"/>
              </w:rPr>
            </w:pPr>
            <w:r>
              <w:rPr>
                <w:rFonts w:ascii="Times New Roman;Times;serif" w:hAnsi="Times New Roman;Times;serif"/>
                <w:b w:val="false"/>
                <w:i w:val="false"/>
                <w:caps w:val="false"/>
                <w:smallCaps w:val="false"/>
                <w:color w:val="231F20"/>
                <w:spacing w:val="-10"/>
                <w:sz w:val="16"/>
              </w:rPr>
              <w:t>Represents warrants initially issued by Orchestra BioMed, Inc., which converted into warrants to acquire Common Stock in connection with the Business Combination (the “Orchestra BioMed, Inc. Warrants”).</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color w:val="231F20"/>
                <w:sz w:val="16"/>
              </w:rPr>
            </w:pPr>
            <w:r>
              <w:rPr>
                <w:rFonts w:ascii="Times New Roman;Times;serif" w:hAnsi="Times New Roman;Times;serif"/>
                <w:color w:val="231F20"/>
                <w:sz w:val="16"/>
              </w:rPr>
              <w:t>(3)</w:t>
            </w:r>
          </w:p>
        </w:tc>
        <w:tc>
          <w:tcPr>
            <w:tcW w:w="990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pacing w:val="-10"/>
                <w:sz w:val="16"/>
              </w:rPr>
              <w:t>The Sponsor purchased 1,500,000</w:t>
            </w:r>
            <w:r>
              <w:rPr>
                <w:caps w:val="false"/>
                <w:smallCaps w:val="false"/>
                <w:color w:val="231F20"/>
                <w:spacing w:val="-10"/>
              </w:rPr>
              <w:t xml:space="preserve"> </w:t>
            </w:r>
            <w:r>
              <w:rPr>
                <w:rFonts w:ascii="Times New Roman;Times;serif" w:hAnsi="Times New Roman;Times;serif"/>
                <w:b w:val="false"/>
                <w:i w:val="false"/>
                <w:caps w:val="false"/>
                <w:smallCaps w:val="false"/>
                <w:color w:val="231F20"/>
                <w:spacing w:val="-10"/>
                <w:sz w:val="16"/>
              </w:rPr>
              <w:t>warrants to purchase shares of HSAC2 in a private placement upon consummation of the HSAC2 initial public offering (the “Private Warrants”), 750,000</w:t>
            </w:r>
            <w:r>
              <w:rPr>
                <w:caps w:val="false"/>
                <w:smallCaps w:val="false"/>
                <w:color w:val="231F20"/>
                <w:spacing w:val="-10"/>
              </w:rPr>
              <w:t xml:space="preserve"> </w:t>
            </w:r>
            <w:r>
              <w:rPr>
                <w:rFonts w:ascii="Times New Roman;Times;serif" w:hAnsi="Times New Roman;Times;serif"/>
                <w:b w:val="false"/>
                <w:i w:val="false"/>
                <w:caps w:val="false"/>
                <w:smallCaps w:val="false"/>
                <w:color w:val="231F20"/>
                <w:spacing w:val="-10"/>
                <w:sz w:val="16"/>
              </w:rPr>
              <w:t>of which were forfeited by the Sponsor immediately prior to the closing of the Business Combination (the “Sponsor Forfeiture”).</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92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pacing w:val="-10"/>
                <w:sz w:val="16"/>
              </w:rPr>
              <w:t>Pursuant to the terms of the Business Combination, immediately following the Sponsor Forfeiture and prior to the closing of the Business Combination, HSAC2 issued 750,000</w:t>
            </w:r>
            <w:r>
              <w:rPr>
                <w:caps w:val="false"/>
                <w:smallCaps w:val="false"/>
                <w:color w:val="231F20"/>
                <w:spacing w:val="-10"/>
              </w:rPr>
              <w:t xml:space="preserve"> </w:t>
            </w:r>
            <w:r>
              <w:rPr>
                <w:rFonts w:ascii="Times New Roman;Times;serif" w:hAnsi="Times New Roman;Times;serif"/>
                <w:b w:val="false"/>
                <w:i w:val="false"/>
                <w:caps w:val="false"/>
                <w:smallCaps w:val="false"/>
                <w:color w:val="231F20"/>
                <w:spacing w:val="-10"/>
                <w:sz w:val="16"/>
              </w:rPr>
              <w:t>warrants to purchase Common Stock to eleven</w:t>
            </w:r>
            <w:r>
              <w:rPr>
                <w:caps w:val="false"/>
                <w:smallCaps w:val="false"/>
                <w:color w:val="231F20"/>
                <w:spacing w:val="-10"/>
              </w:rPr>
              <w:t xml:space="preserve"> </w:t>
            </w:r>
            <w:r>
              <w:rPr>
                <w:rFonts w:ascii="Times New Roman;Times;serif" w:hAnsi="Times New Roman;Times;serif"/>
                <w:b w:val="false"/>
                <w:i w:val="false"/>
                <w:caps w:val="false"/>
                <w:smallCaps w:val="false"/>
                <w:color w:val="231F20"/>
                <w:spacing w:val="-10"/>
                <w:sz w:val="16"/>
              </w:rPr>
              <w:t>specified employees and directors of Orchestra (the “Officer and Director Warrants”). These Officer and Director Warrants have substantially similar terms to the forfeited Private Warrants, except they were subject to vesting provisions that expired in January 2026. There are fewer than 750,000</w:t>
            </w:r>
            <w:r>
              <w:rPr>
                <w:caps w:val="false"/>
                <w:smallCaps w:val="false"/>
                <w:color w:val="231F20"/>
                <w:spacing w:val="-10"/>
              </w:rPr>
              <w:t xml:space="preserve"> </w:t>
            </w:r>
            <w:r>
              <w:rPr>
                <w:rFonts w:ascii="Times New Roman;Times;serif" w:hAnsi="Times New Roman;Times;serif"/>
                <w:b w:val="false"/>
                <w:i w:val="false"/>
                <w:caps w:val="false"/>
                <w:smallCaps w:val="false"/>
                <w:color w:val="231F20"/>
                <w:spacing w:val="-10"/>
                <w:sz w:val="16"/>
              </w:rPr>
              <w:t>Officer and Director Warrants outstanding currently due to forfeitures by persons that resigned from the Company prior to the vesting of the Officer and Director Warrants</w:t>
            </w:r>
            <w:r>
              <w:rPr>
                <w:rFonts w:ascii="Times New Roman;Times;serif" w:hAnsi="Times New Roman;Times;serif"/>
                <w:b w:val="false"/>
                <w:i w:val="false"/>
                <w:caps w:val="false"/>
                <w:smallCaps w:val="false"/>
                <w:sz w:val="16"/>
              </w:rPr>
              <w:t>.</w:t>
            </w:r>
            <w:r>
              <w:rPr>
                <w:caps w:val="false"/>
                <w:smallCaps w:val="false"/>
              </w:rPr>
              <w:t xml:space="preserve">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10. Stock-Based Compensation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Orchestra BioMed Holdings, Inc. 2023 Equity Incentive Plan</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On January 26, 2023, the Company adopted the Orchestra BioMed Holdings, Inc. 2023 Equity Incentive Plan (the “2023 Plan”), which permits the granting of incentive stock options, non-qualified options, stock appreciation rights, restricted stock, restricted stock units, performance awards and other stock-based award to employees, directors, and non-employee consultants and/or advisors. As of June 30, 2026, approximately 424,000 shares of Common Stock were authorized for issuance pursuant to awards under the 2023 Plan. The pool of available shares is automatically increased on the first day of each calendar year, beginning January 1, 2024 and ending January 1, 2032, by an amount equal to the lesser of (i) 4.8% of the outstanding shares of the Common Stock determined on a fully-diluted basis as of the immediately preceding December 31 and (ii) 3,036,722 shares of Common Stock, and (iii) such number of shares of Common Stock determined by the Board or the Compensation Committee prior to January 1st of a given year. Employees, consultants, and directors are eligible for awards granted under the 2023 Plan, which generally have a contractual life of up to 10 years and may be exercisable in cash or as otherwise determined by the Board. Vesting generally occurs over a period of not greater than four years.</w:t>
      </w:r>
    </w:p>
    <w:p>
      <w:pPr>
        <w:pStyle w:val="TextBody"/>
        <w:bidi w:val="0"/>
        <w:spacing w:before="0" w:after="0"/>
        <w:ind w:left="0" w:right="0" w:firstLine="360"/>
        <w:jc w:val="both"/>
        <w:rPr>
          <w:color w:val="231F20"/>
          <w:spacing w:val="-10"/>
        </w:rPr>
      </w:pPr>
      <w:r>
        <w:rPr>
          <w:color w:val="231F20"/>
          <w:spacing w:val="-1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color w:val="231F20"/>
          <w:spacing w:val="-10"/>
          <w:sz w:val="20"/>
        </w:rPr>
      </w:pPr>
      <w:bookmarkStart w:id="973" w:name="Tc_7Fwr2lrZ00K9xX63A_WVgA_5_11"/>
      <w:bookmarkStart w:id="974" w:name="Tc_BWEjgitVpUOutfaOGv4KcA_5_8"/>
      <w:bookmarkStart w:id="975" w:name="Tc_dV_dJ0V5QEuW_yJY3MV4qQ_5_5"/>
      <w:bookmarkStart w:id="976" w:name="Tc_Zb_VaulpHUG2bOFu2tIi_g_5_3"/>
      <w:bookmarkStart w:id="977" w:name="Tc_VWgNxB2YikutZEbMqvPVTQ_5_2"/>
      <w:bookmarkStart w:id="978" w:name="Tc_s63nbkP3oUWRXOkxRUeYzw_5_0"/>
      <w:bookmarkStart w:id="979" w:name="Tc_UbUISs4JYUGX7iP8NvnNKQ_4_3"/>
      <w:bookmarkStart w:id="980" w:name="Tc_CK26w_CMCUa0TpBZhu-GSg_4_0"/>
      <w:bookmarkStart w:id="981" w:name="Tc_itGCoeg_Pk2jL2PDU6gftQ_3_11"/>
      <w:bookmarkStart w:id="982" w:name="Tc_k_9bFWgXBEe1lFnkByyImQ_3_8"/>
      <w:bookmarkStart w:id="983" w:name="Tc_dpFRDdnS2kqBkK_XRwiZTw_3_5"/>
      <w:bookmarkStart w:id="984" w:name="Tc_4XS3Dfu5VkCKk55HCfVw5w_3_3"/>
      <w:bookmarkStart w:id="985" w:name="Tc_5BM8yf7srUGaZcYixLWhFA_3_2"/>
      <w:bookmarkStart w:id="986" w:name="Tc_O0E10gFpCUWJmcea1rsytw_3_0"/>
      <w:bookmarkStart w:id="987" w:name="Tc_1UPnUUxOQUi63gOV6B1PCQ_2_11"/>
      <w:bookmarkStart w:id="988" w:name="Tc_1g0_XFXLPk2HN4TYh05aTQ_2_8"/>
      <w:bookmarkStart w:id="989" w:name="Tc_rNadYnmzGEmfS43cMJ5EAA_2_5"/>
      <w:bookmarkStart w:id="990" w:name="Tc_TVzY_rtog0mUK7J_B_XQfA_2_2"/>
      <w:bookmarkStart w:id="991" w:name="Tc_2QIQV5OO_0OYud5T8jBbOg_2_0"/>
      <w:bookmarkStart w:id="992" w:name="Tc_u5dhvOuB_EuuiSbXlCJ4Aw_1_8"/>
      <w:bookmarkStart w:id="993" w:name="Tc_br1RExtekkqCqTne1adZ4w_1_2"/>
      <w:bookmarkStart w:id="994" w:name="_d612b49d_a3a3_4af2_8d24_318daf3a832c"/>
      <w:bookmarkStart w:id="995" w:name="Tc_PkeMF6sNikCOmuH0HyVWjw_5_11"/>
      <w:bookmarkStart w:id="996" w:name="Tc_08nywnXrAkOHE2CdEFt3WQ_5_8"/>
      <w:bookmarkStart w:id="997" w:name="Tc_4TCZEJAxaUuj3YGcUboHOg_5_5"/>
      <w:bookmarkStart w:id="998" w:name="Tc_BufWsqnSdkaSEI8VtXLxhg_5_2"/>
      <w:bookmarkStart w:id="999" w:name="Tc_DheBxDytJkiElDkDt167nQ_5_0"/>
      <w:bookmarkStart w:id="1000" w:name="Tc_lKfYGeiTgEaDPtsXe_japw_4_0"/>
      <w:bookmarkStart w:id="1001" w:name="Tc_0yzRQGJ8ikeJd7lxVSFMDA_3_11"/>
      <w:bookmarkStart w:id="1002" w:name="Tc_ZLFXjNP1Uk6SrVnITjyMzg_3_8"/>
      <w:bookmarkStart w:id="1003" w:name="Tc__rOusMlDO0KV-P2D1U8-PQ_3_5"/>
      <w:bookmarkStart w:id="1004" w:name="Tc_cun68ZulsUShMZmoBuupPA_3_2"/>
      <w:bookmarkStart w:id="1005" w:name="Tc_UotGrtkPUUuz3qSoQjjaTQ_3_0"/>
      <w:bookmarkStart w:id="1006" w:name="Tc_nMVe6XvNb0m1002CGZx2-g_2_11"/>
      <w:bookmarkStart w:id="1007" w:name="Tc_L0DE_VKWX0G--fpnwMHyng_2_8"/>
      <w:bookmarkStart w:id="1008" w:name="Tc_EAOJc0rXlEyotC4OF6b21w_2_5"/>
      <w:bookmarkStart w:id="1009" w:name="Tc_uXBOxMq3G0C4kqKa6052tg_2_2"/>
      <w:bookmarkStart w:id="1010" w:name="Tc_0ixjnRZylE6jmI2yEIbmsQ_2_0"/>
      <w:bookmarkStart w:id="1011" w:name="Tc_-8dJPQr1hUC4-8J8O8P0Ow_1_8"/>
      <w:bookmarkStart w:id="1012" w:name="Tc_AWBXzf43YEq2p9hkCJShmQ_1_2"/>
      <w:bookmarkStart w:id="1013" w:name="_f961db8a_1f61_4dd6_ba08_c65079600b0c"/>
      <w:bookmarkStart w:id="1014" w:name="Tc_NAaCswRyGE6rfvr02aq8mg_5_11"/>
      <w:bookmarkStart w:id="1015" w:name="Tc_hIAKaUajCECm2GR3-O-dBA_5_8"/>
      <w:bookmarkStart w:id="1016" w:name="Tc_Odd7VtFFB0mE33W4md8zSA_5_5"/>
      <w:bookmarkStart w:id="1017" w:name="Tc_fWbONe-Gp0-OxKE0-WDDaw_5_2"/>
      <w:bookmarkStart w:id="1018" w:name="Tc_F3I3Zt_cm0m1wei_3X9ToQ_5_0"/>
      <w:bookmarkStart w:id="1019" w:name="Tc_mNwsKwt3PUiIa0Fezoff6g_4_0"/>
      <w:bookmarkStart w:id="1020" w:name="Tc_wiWeWz5_tkutCpzMb-kkoQ_3_11"/>
      <w:bookmarkStart w:id="1021" w:name="Tc_rDWBrLjs40qmycgt1wfiPw_3_8"/>
      <w:bookmarkStart w:id="1022" w:name="Tc_6cVuXSfpdEiRznNevjfPTw_3_5"/>
      <w:bookmarkStart w:id="1023" w:name="Tc_afM6F_swpkSKvhgbtAtXWg_3_2"/>
      <w:bookmarkStart w:id="1024" w:name="Tc_aK2reIH4UkiBJ55nM3gRBA_3_0"/>
      <w:bookmarkStart w:id="1025" w:name="Tc_y1Azcw6ph0GyldlXDGvXCg_2_11"/>
      <w:bookmarkStart w:id="1026" w:name="Tc_KE44ONu4fEOVV8QE0Adnkg_2_8"/>
      <w:bookmarkStart w:id="1027" w:name="Tc_tsPChcFyrkSszvfRdVr1NQ_2_5"/>
      <w:bookmarkStart w:id="1028" w:name="Tc_62kQg1HUS0eodVJqM0QXog_2_2"/>
      <w:bookmarkStart w:id="1029" w:name="Tc_ncD1aJg6w0C4RuokIG69PQ_2_0"/>
      <w:bookmarkStart w:id="1030" w:name="Tc_LibqJ2EQEk6_UcTMsN3G0Q_1_8"/>
      <w:bookmarkStart w:id="1031" w:name="Tc_oeAcpXGPKEq3guejodzN0Q_1_2"/>
      <w:bookmarkStart w:id="1032" w:name="_c1b2efb6_c9c6_4550_ac3c_fad28ec57e68"/>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r>
        <w:rPr>
          <w:rFonts w:ascii="Times New Roman;Times;serif" w:hAnsi="Times New Roman;Times;serif"/>
          <w:b/>
          <w:i/>
          <w:color w:val="231F20"/>
          <w:spacing w:val="-10"/>
          <w:sz w:val="20"/>
        </w:rPr>
        <w:t>Orchestra BioMed Holdings, Inc. 2025 New Hire Inducement Plan</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In November 2025, the Company's Board of Directors adopted the 2025 New Hire Inducement Plan (the "Inducement Plan"). The Inducement Plan provides for the grant of nonstatutory stock options, stock appreciation rights, restricted stock, RSUs and other stock-based awards with respect to an aggregate of 950,000 shares of Common Stock (subject to adjustment as provided in the Inducement Plan). Awards under the Inducement Plan may only be granted to new employees who were not previously an employee or director of the Company or are commencing employment with the Company following a bona fide period of non-employment, in either case, as an inducement material to the individual’s entering into employment with the Company and in accordance with the requirements of Nasdaq Stock Market Rule 5635(c)(4). During the six months ended June 30, 2026, the Company granted inducement equity awards to 14 new employees as a material inducement to acceptance of their respective employment consisting of stock options to purchase up to an aggregate of 205,500 shares of the Common Stock. As of June 30, 2026, there were approximately 616,000 shares remaining available for future issuance under the Inducement Plan.</w:t>
      </w:r>
    </w:p>
    <w:p>
      <w:pPr>
        <w:pStyle w:val="TextBody"/>
        <w:bidi w:val="0"/>
        <w:spacing w:before="0" w:after="0"/>
        <w:ind w:left="0" w:right="0" w:firstLine="360"/>
        <w:jc w:val="both"/>
        <w:rPr>
          <w:color w:val="231F20"/>
          <w:spacing w:val="-10"/>
        </w:rPr>
      </w:pPr>
      <w:r>
        <w:rPr>
          <w:color w:val="231F20"/>
          <w:spacing w:val="-10"/>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Stock-based Compensation Expense</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Total stock-based compensation related to option issuances was as follows:</w:t>
      </w:r>
    </w:p>
    <w:tbl>
      <w:tblPr>
        <w:tblW w:w="8116" w:type="dxa"/>
        <w:jc w:val="left"/>
        <w:tblInd w:w="0" w:type="dxa"/>
        <w:tblLayout w:type="fixed"/>
        <w:tblCellMar>
          <w:top w:w="0" w:type="dxa"/>
          <w:left w:w="0" w:type="dxa"/>
          <w:bottom w:w="0" w:type="dxa"/>
          <w:right w:w="0" w:type="dxa"/>
        </w:tblCellMar>
      </w:tblPr>
      <w:tblGrid>
        <w:gridCol w:w="2956"/>
        <w:gridCol w:w="346"/>
        <w:gridCol w:w="255"/>
        <w:gridCol w:w="690"/>
        <w:gridCol w:w="418"/>
        <w:gridCol w:w="255"/>
        <w:gridCol w:w="690"/>
        <w:gridCol w:w="346"/>
        <w:gridCol w:w="225"/>
        <w:gridCol w:w="609"/>
        <w:gridCol w:w="369"/>
        <w:gridCol w:w="225"/>
        <w:gridCol w:w="732"/>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877060" cy="175260"/>
                      <wp:effectExtent l="0" t="0" r="0" b="0"/>
                      <wp:wrapNone/>
                      <wp:docPr id="155" name="Frame154"/>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61925" cy="175260"/>
                      <wp:effectExtent l="0" t="0" r="0" b="0"/>
                      <wp:wrapNone/>
                      <wp:docPr id="157" name="Frame156"/>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38150" cy="175260"/>
                      <wp:effectExtent l="0" t="0" r="0" b="0"/>
                      <wp:wrapNone/>
                      <wp:docPr id="158" name="Frame157"/>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65430" cy="175260"/>
                      <wp:effectExtent l="0" t="0" r="0" b="0"/>
                      <wp:wrapNone/>
                      <wp:docPr id="159" name="Frame158"/>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61925" cy="175260"/>
                      <wp:effectExtent l="0" t="0" r="0" b="0"/>
                      <wp:wrapNone/>
                      <wp:docPr id="160" name="Frame15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38150" cy="175260"/>
                      <wp:effectExtent l="0" t="0" r="0" b="0"/>
                      <wp:wrapNone/>
                      <wp:docPr id="161" name="Frame160"/>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42875" cy="175260"/>
                      <wp:effectExtent l="0" t="0" r="0" b="0"/>
                      <wp:wrapNone/>
                      <wp:docPr id="163" name="Frame162"/>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86715" cy="175260"/>
                      <wp:effectExtent l="0" t="0" r="0" b="0"/>
                      <wp:wrapNone/>
                      <wp:docPr id="164" name="Frame163"/>
                      <a:graphic xmlns:a="http://schemas.openxmlformats.org/drawingml/2006/main">
                        <a:graphicData uri="http://schemas.microsoft.com/office/word/2010/wordprocessingShape">
                          <wps:wsp>
                            <wps:cNvSpPr txBox="1"/>
                            <wps:spPr>
                              <a:xfrm>
                                <a:off x="0" y="0"/>
                                <a:ext cx="386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34315" cy="175260"/>
                      <wp:effectExtent l="0" t="0" r="0" b="0"/>
                      <wp:wrapNone/>
                      <wp:docPr id="165" name="Frame164"/>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42875" cy="175260"/>
                      <wp:effectExtent l="0" t="0" r="0" b="0"/>
                      <wp:wrapNone/>
                      <wp:docPr id="166" name="Frame165"/>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64820" cy="175260"/>
                      <wp:effectExtent l="0" t="0" r="0" b="0"/>
                      <wp:wrapNone/>
                      <wp:docPr id="167" name="Frame166"/>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center"/>
              <w:rPr/>
            </w:pPr>
            <w:r>
              <w:rPr/>
              <w:t>  ​ ​ ​</w:t>
            </w:r>
          </w:p>
        </w:tc>
        <w:tc>
          <w:tcPr>
            <w:tcW w:w="21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9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8" w:type="dxa"/>
            <w:tcBorders/>
            <w:vAlign w:val="center"/>
          </w:tcPr>
          <w:p>
            <w:pPr>
              <w:pStyle w:val="TableContents"/>
              <w:bidi w:val="0"/>
              <w:spacing w:before="0" w:after="0"/>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8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9" w:type="dxa"/>
            <w:tcBorders/>
            <w:vAlign w:val="center"/>
          </w:tcPr>
          <w:p>
            <w:pPr>
              <w:pStyle w:val="TableContents"/>
              <w:bidi w:val="0"/>
              <w:spacing w:before="0" w:after="0"/>
              <w:ind w:left="0" w:right="0" w:hanging="0"/>
              <w:jc w:val="center"/>
              <w:rPr/>
            </w:pPr>
            <w:r>
              <w:rPr/>
              <w:t>  ​ ​ ​</w:t>
            </w:r>
          </w:p>
        </w:tc>
        <w:tc>
          <w:tcPr>
            <w:tcW w:w="9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center"/>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418" w:type="dxa"/>
            <w:tcBorders/>
            <w:shd w:fill="CCEEFF" w:val="clear"/>
            <w:vAlign w:val="center"/>
          </w:tcPr>
          <w:p>
            <w:pPr>
              <w:pStyle w:val="TableContents"/>
              <w:bidi w:val="0"/>
              <w:spacing w:before="0" w:after="0"/>
              <w:ind w:left="0" w:right="0" w:hanging="0"/>
              <w:jc w:val="center"/>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346" w:type="dxa"/>
            <w:tcBorders/>
            <w:shd w:fill="CCEEFF" w:val="clear"/>
            <w:vAlign w:val="center"/>
          </w:tcPr>
          <w:p>
            <w:pPr>
              <w:pStyle w:val="TableContents"/>
              <w:bidi w:val="0"/>
              <w:spacing w:before="0" w:after="0"/>
              <w:ind w:left="0" w:right="0" w:hanging="0"/>
              <w:jc w:val="center"/>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w:t>
            </w:r>
          </w:p>
        </w:tc>
        <w:tc>
          <w:tcPr>
            <w:tcW w:w="369" w:type="dxa"/>
            <w:tcBorders/>
            <w:shd w:fill="CCEEFF" w:val="clear"/>
            <w:vAlign w:val="center"/>
          </w:tcPr>
          <w:p>
            <w:pPr>
              <w:pStyle w:val="TableContents"/>
              <w:bidi w:val="0"/>
              <w:spacing w:before="0" w:after="0"/>
              <w:ind w:left="0" w:right="0" w:hanging="0"/>
              <w:jc w:val="center"/>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 </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418" w:type="dxa"/>
            <w:tcBorders/>
            <w:vAlign w:val="center"/>
          </w:tcPr>
          <w:p>
            <w:pPr>
              <w:pStyle w:val="TableContents"/>
              <w:bidi w:val="0"/>
              <w:spacing w:before="0" w:after="0"/>
              <w:ind w:left="0" w:right="0" w:hanging="0"/>
              <w:jc w:val="left"/>
              <w:rPr/>
            </w:pPr>
            <w:r>
              <w:rPr/>
              <w:t> </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w:t>
            </w:r>
          </w:p>
        </w:tc>
        <w:tc>
          <w:tcPr>
            <w:tcW w:w="346" w:type="dxa"/>
            <w:tcBorders/>
            <w:vAlign w:val="center"/>
          </w:tcPr>
          <w:p>
            <w:pPr>
              <w:pStyle w:val="TableContents"/>
              <w:bidi w:val="0"/>
              <w:spacing w:before="0" w:after="0"/>
              <w:ind w:left="0" w:right="0" w:hanging="0"/>
              <w:jc w:val="left"/>
              <w:rPr/>
            </w:pPr>
            <w:r>
              <w:rPr/>
              <w:t> </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w:t>
            </w:r>
          </w:p>
        </w:tc>
        <w:tc>
          <w:tcPr>
            <w:tcW w:w="369" w:type="dxa"/>
            <w:tcBorders/>
            <w:vAlign w:val="center"/>
          </w:tcPr>
          <w:p>
            <w:pPr>
              <w:pStyle w:val="TableContents"/>
              <w:bidi w:val="0"/>
              <w:spacing w:before="0" w:after="0"/>
              <w:ind w:left="0" w:right="0" w:hanging="0"/>
              <w:jc w:val="left"/>
              <w:rPr/>
            </w:pPr>
            <w:r>
              <w:rPr/>
              <w:t> </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1,048</w:t>
            </w:r>
          </w:p>
        </w:tc>
        <w:tc>
          <w:tcPr>
            <w:tcW w:w="418"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1,358</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1,914</w:t>
            </w:r>
          </w:p>
        </w:tc>
        <w:tc>
          <w:tcPr>
            <w:tcW w:w="369"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2,604</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As of June 30, 2026, there was approximately $9.7 million of unrecognized stock-based compensation expense associated with the stock options noted above that is expected to be recognized over a weighted average period of approximately 2.9 years. </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Total stock-based compensation related to restricted stock awards and restricted stock units was as follows:</w:t>
      </w:r>
    </w:p>
    <w:tbl>
      <w:tblPr>
        <w:tblW w:w="8116" w:type="dxa"/>
        <w:jc w:val="left"/>
        <w:tblInd w:w="0" w:type="dxa"/>
        <w:tblLayout w:type="fixed"/>
        <w:tblCellMar>
          <w:top w:w="0" w:type="dxa"/>
          <w:left w:w="0" w:type="dxa"/>
          <w:bottom w:w="0" w:type="dxa"/>
          <w:right w:w="0" w:type="dxa"/>
        </w:tblCellMar>
      </w:tblPr>
      <w:tblGrid>
        <w:gridCol w:w="2956"/>
        <w:gridCol w:w="346"/>
        <w:gridCol w:w="255"/>
        <w:gridCol w:w="690"/>
        <w:gridCol w:w="418"/>
        <w:gridCol w:w="255"/>
        <w:gridCol w:w="690"/>
        <w:gridCol w:w="346"/>
        <w:gridCol w:w="225"/>
        <w:gridCol w:w="609"/>
        <w:gridCol w:w="369"/>
        <w:gridCol w:w="225"/>
        <w:gridCol w:w="732"/>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877060" cy="175260"/>
                      <wp:effectExtent l="0" t="0" r="0" b="0"/>
                      <wp:wrapNone/>
                      <wp:docPr id="168" name="Frame167"/>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61925" cy="175260"/>
                      <wp:effectExtent l="0" t="0" r="0" b="0"/>
                      <wp:wrapNone/>
                      <wp:docPr id="170" name="Frame16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38150" cy="175260"/>
                      <wp:effectExtent l="0" t="0" r="0" b="0"/>
                      <wp:wrapNone/>
                      <wp:docPr id="171" name="Frame170"/>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65430" cy="175260"/>
                      <wp:effectExtent l="0" t="0" r="0" b="0"/>
                      <wp:wrapNone/>
                      <wp:docPr id="172" name="Frame171"/>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61925" cy="175260"/>
                      <wp:effectExtent l="0" t="0" r="0" b="0"/>
                      <wp:wrapNone/>
                      <wp:docPr id="173" name="Frame172"/>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38150" cy="175260"/>
                      <wp:effectExtent l="0" t="0" r="0" b="0"/>
                      <wp:wrapNone/>
                      <wp:docPr id="174" name="Frame173"/>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42875" cy="175260"/>
                      <wp:effectExtent l="0" t="0" r="0" b="0"/>
                      <wp:wrapNone/>
                      <wp:docPr id="176" name="Frame175"/>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86715" cy="175260"/>
                      <wp:effectExtent l="0" t="0" r="0" b="0"/>
                      <wp:wrapNone/>
                      <wp:docPr id="177" name="Frame176"/>
                      <a:graphic xmlns:a="http://schemas.openxmlformats.org/drawingml/2006/main">
                        <a:graphicData uri="http://schemas.microsoft.com/office/word/2010/wordprocessingShape">
                          <wps:wsp>
                            <wps:cNvSpPr txBox="1"/>
                            <wps:spPr>
                              <a:xfrm>
                                <a:off x="0" y="0"/>
                                <a:ext cx="386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34315" cy="175260"/>
                      <wp:effectExtent l="0" t="0" r="0" b="0"/>
                      <wp:wrapNone/>
                      <wp:docPr id="178" name="Frame177"/>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42875" cy="175260"/>
                      <wp:effectExtent l="0" t="0" r="0" b="0"/>
                      <wp:wrapNone/>
                      <wp:docPr id="179" name="Frame178"/>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64820" cy="175260"/>
                      <wp:effectExtent l="0" t="0" r="0" b="0"/>
                      <wp:wrapNone/>
                      <wp:docPr id="180" name="Frame179"/>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center"/>
              <w:rPr/>
            </w:pPr>
            <w:r>
              <w:rPr/>
              <w:t>  ​ ​ ​</w:t>
            </w:r>
          </w:p>
        </w:tc>
        <w:tc>
          <w:tcPr>
            <w:tcW w:w="21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9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8" w:type="dxa"/>
            <w:tcBorders/>
            <w:vAlign w:val="center"/>
          </w:tcPr>
          <w:p>
            <w:pPr>
              <w:pStyle w:val="TableContents"/>
              <w:bidi w:val="0"/>
              <w:spacing w:before="0" w:after="0"/>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8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9" w:type="dxa"/>
            <w:tcBorders/>
            <w:vAlign w:val="center"/>
          </w:tcPr>
          <w:p>
            <w:pPr>
              <w:pStyle w:val="TableContents"/>
              <w:bidi w:val="0"/>
              <w:spacing w:before="0" w:after="0"/>
              <w:ind w:left="0" w:right="0" w:hanging="0"/>
              <w:jc w:val="center"/>
              <w:rPr/>
            </w:pPr>
            <w:r>
              <w:rPr/>
              <w:t>  ​ ​ ​</w:t>
            </w:r>
          </w:p>
        </w:tc>
        <w:tc>
          <w:tcPr>
            <w:tcW w:w="9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418" w:type="dxa"/>
            <w:tcBorders/>
            <w:shd w:fill="CCEEFF" w:val="clear"/>
            <w:vAlign w:val="center"/>
          </w:tcPr>
          <w:p>
            <w:pPr>
              <w:pStyle w:val="TableContents"/>
              <w:bidi w:val="0"/>
              <w:spacing w:before="0" w:after="0"/>
              <w:ind w:left="0" w:right="0" w:hanging="0"/>
              <w:jc w:val="center"/>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c>
          <w:tcPr>
            <w:tcW w:w="346" w:type="dxa"/>
            <w:tcBorders/>
            <w:shd w:fill="CCEEFF" w:val="clear"/>
            <w:vAlign w:val="center"/>
          </w:tcPr>
          <w:p>
            <w:pPr>
              <w:pStyle w:val="TableContents"/>
              <w:bidi w:val="0"/>
              <w:spacing w:before="0" w:after="0"/>
              <w:ind w:left="0" w:right="0" w:hanging="0"/>
              <w:jc w:val="center"/>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w:t>
            </w:r>
          </w:p>
        </w:tc>
        <w:tc>
          <w:tcPr>
            <w:tcW w:w="369" w:type="dxa"/>
            <w:tcBorders/>
            <w:shd w:fill="CCEEFF" w:val="clear"/>
            <w:vAlign w:val="center"/>
          </w:tcPr>
          <w:p>
            <w:pPr>
              <w:pStyle w:val="TableContents"/>
              <w:bidi w:val="0"/>
              <w:spacing w:before="0" w:after="0"/>
              <w:ind w:left="0" w:right="0" w:hanging="0"/>
              <w:jc w:val="center"/>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418"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2,245</w:t>
            </w:r>
          </w:p>
        </w:tc>
        <w:tc>
          <w:tcPr>
            <w:tcW w:w="369"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1,986</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1,457</w:t>
            </w:r>
          </w:p>
        </w:tc>
        <w:tc>
          <w:tcPr>
            <w:tcW w:w="418"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1,564</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3,371</w:t>
            </w:r>
          </w:p>
        </w:tc>
        <w:tc>
          <w:tcPr>
            <w:tcW w:w="369"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2,979</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As of June 30, 2026, there was approximately $9.9 million of unrecognized restricted stock-based compensation expense associated with the restricted stock noted above that is expected to be recognized over a weighted average period of approximately 2.3 years.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On February 28, 2025, the Company issued equity-classified warrants to purchase 60,000 shares of Common Stock at an exercise price of $4.69 per share to non-employee consultants. The warrants were issued as consideration for entering into an agreement for future services. At the grant date, 6,000 became exercisable while the remaining vested ratably over eight months. Assumptions used were an expected term (in years) of 2.84, expected volatility of 110.1%, risk-free interest rate of 3.99%, expected dividend yield of 0%, and the fair value of Common Stock of $3.12. </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Total stock-based compensation related to warrants was as follows:</w:t>
      </w:r>
    </w:p>
    <w:tbl>
      <w:tblPr>
        <w:tblW w:w="8113" w:type="dxa"/>
        <w:jc w:val="left"/>
        <w:tblInd w:w="0" w:type="dxa"/>
        <w:tblLayout w:type="fixed"/>
        <w:tblCellMar>
          <w:top w:w="0" w:type="dxa"/>
          <w:left w:w="0" w:type="dxa"/>
          <w:bottom w:w="0" w:type="dxa"/>
          <w:right w:w="0" w:type="dxa"/>
        </w:tblCellMar>
      </w:tblPr>
      <w:tblGrid>
        <w:gridCol w:w="2956"/>
        <w:gridCol w:w="346"/>
        <w:gridCol w:w="317"/>
        <w:gridCol w:w="520"/>
        <w:gridCol w:w="520"/>
        <w:gridCol w:w="317"/>
        <w:gridCol w:w="633"/>
        <w:gridCol w:w="346"/>
        <w:gridCol w:w="281"/>
        <w:gridCol w:w="421"/>
        <w:gridCol w:w="461"/>
        <w:gridCol w:w="281"/>
        <w:gridCol w:w="714"/>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877060" cy="175260"/>
                      <wp:effectExtent l="0" t="0" r="0" b="0"/>
                      <wp:wrapNone/>
                      <wp:docPr id="181" name="Frame180"/>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1295" cy="175260"/>
                      <wp:effectExtent l="0" t="0" r="0" b="0"/>
                      <wp:wrapNone/>
                      <wp:docPr id="183" name="Frame182"/>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30200" cy="175260"/>
                      <wp:effectExtent l="0" t="0" r="0" b="0"/>
                      <wp:wrapNone/>
                      <wp:docPr id="184" name="Frame183"/>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330200" cy="175260"/>
                      <wp:effectExtent l="0" t="0" r="0" b="0"/>
                      <wp:wrapNone/>
                      <wp:docPr id="185" name="Frame184"/>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1295" cy="175260"/>
                      <wp:effectExtent l="0" t="0" r="0" b="0"/>
                      <wp:wrapNone/>
                      <wp:docPr id="186" name="Frame185"/>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01955" cy="175260"/>
                      <wp:effectExtent l="0" t="0" r="0" b="0"/>
                      <wp:wrapNone/>
                      <wp:docPr id="187" name="Frame186"/>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78435" cy="175260"/>
                      <wp:effectExtent l="0" t="0" r="0" b="0"/>
                      <wp:wrapNone/>
                      <wp:docPr id="189" name="Frame188"/>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67335" cy="175260"/>
                      <wp:effectExtent l="0" t="0" r="0" b="0"/>
                      <wp:wrapNone/>
                      <wp:docPr id="190" name="Frame18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92735" cy="175260"/>
                      <wp:effectExtent l="0" t="0" r="0" b="0"/>
                      <wp:wrapNone/>
                      <wp:docPr id="191" name="Frame190"/>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78435" cy="175260"/>
                      <wp:effectExtent l="0" t="0" r="0" b="0"/>
                      <wp:wrapNone/>
                      <wp:docPr id="192" name="Frame191"/>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53390" cy="175260"/>
                      <wp:effectExtent l="0" t="0" r="0" b="0"/>
                      <wp:wrapNone/>
                      <wp:docPr id="193" name="Frame192"/>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0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center"/>
              <w:rPr/>
            </w:pPr>
            <w:r>
              <w:rPr/>
              <w:t>  ​ ​ ​</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9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w:t>
            </w:r>
          </w:p>
        </w:tc>
        <w:tc>
          <w:tcPr>
            <w:tcW w:w="8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20" w:type="dxa"/>
            <w:tcBorders/>
            <w:vAlign w:val="center"/>
          </w:tcPr>
          <w:p>
            <w:pPr>
              <w:pStyle w:val="TableContents"/>
              <w:bidi w:val="0"/>
              <w:spacing w:before="0" w:after="0"/>
              <w:ind w:left="0" w:right="0" w:hanging="0"/>
              <w:jc w:val="center"/>
              <w:rPr/>
            </w:pPr>
            <w:r>
              <w:rPr/>
              <w:t>  ​ ​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7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1" w:type="dxa"/>
            <w:tcBorders/>
            <w:vAlign w:val="center"/>
          </w:tcPr>
          <w:p>
            <w:pPr>
              <w:pStyle w:val="TableContents"/>
              <w:bidi w:val="0"/>
              <w:spacing w:before="0" w:after="0"/>
              <w:ind w:left="0" w:right="0" w:hanging="0"/>
              <w:jc w:val="center"/>
              <w:rPr/>
            </w:pPr>
            <w:r>
              <w:rPr/>
              <w:t>  ​ ​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520" w:type="dxa"/>
            <w:tcBorders/>
            <w:shd w:fill="CCEEFF" w:val="clear"/>
            <w:vAlign w:val="center"/>
          </w:tcPr>
          <w:p>
            <w:pPr>
              <w:pStyle w:val="TableContents"/>
              <w:bidi w:val="0"/>
              <w:spacing w:before="0" w:after="0"/>
              <w:ind w:left="0" w:right="0" w:hanging="0"/>
              <w:jc w:val="center"/>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46" w:type="dxa"/>
            <w:tcBorders/>
            <w:shd w:fill="CCEEFF" w:val="clear"/>
            <w:vAlign w:val="center"/>
          </w:tcPr>
          <w:p>
            <w:pPr>
              <w:pStyle w:val="TableContents"/>
              <w:bidi w:val="0"/>
              <w:spacing w:before="0" w:after="0"/>
              <w:ind w:left="0" w:right="0" w:hanging="0"/>
              <w:jc w:val="center"/>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461" w:type="dxa"/>
            <w:tcBorders/>
            <w:shd w:fill="CCEEFF" w:val="clear"/>
            <w:vAlign w:val="center"/>
          </w:tcPr>
          <w:p>
            <w:pPr>
              <w:pStyle w:val="TableContents"/>
              <w:bidi w:val="0"/>
              <w:spacing w:before="0" w:after="0"/>
              <w:ind w:left="0" w:right="0" w:hanging="0"/>
              <w:jc w:val="center"/>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20"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461"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328</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w:t>
            </w:r>
          </w:p>
        </w:tc>
        <w:tc>
          <w:tcPr>
            <w:tcW w:w="461"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14"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632</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As of June 30, 2026, the stock-based compensation expense associated with the warrants noted above is fully recognized.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1033" w:name="Tc_FLgKkdM3mEOXuJXKrSnHJg_7_0"/>
      <w:bookmarkStart w:id="1034" w:name="Tc_p7s7wb0TkEi8E1fupEZSzA_6_7"/>
      <w:bookmarkStart w:id="1035" w:name="Tc__JCo21mA3km_e6aVVkFUCg_6_4"/>
      <w:bookmarkStart w:id="1036" w:name="Tc_P00ueTD5TUSLAqcRQ5zhPg_6_0"/>
      <w:bookmarkStart w:id="1037" w:name="Tc_1S0Nbcb3ZU2WpRWk_UCQZQ_5_7"/>
      <w:bookmarkStart w:id="1038" w:name="Tc_rvSD-srOcECibAeR6-yvvw_5_4"/>
      <w:bookmarkStart w:id="1039" w:name="Tc_C7jz7WEzqkykYM5W_mLGgg_5_0"/>
      <w:bookmarkStart w:id="1040" w:name="Tc_Vd2eKiEJ90utde5xiwfmEw_4_7"/>
      <w:bookmarkStart w:id="1041" w:name="Tc_k0v61uagSUy3iC3r7oaSwg_4_4"/>
      <w:bookmarkStart w:id="1042" w:name="Tc_ZErUht86-0atHjNc5PsEzA_4_0"/>
      <w:bookmarkStart w:id="1043" w:name="Tc_Kjhu2HDzgUyCLLFzM9zpKA_3_0"/>
      <w:bookmarkStart w:id="1044" w:name="Tc_hC5W3Lzm9k-ZzqXfJYsduw_2_5"/>
      <w:bookmarkStart w:id="1045" w:name="Tc_0q-bQQJV60aufg6jXMMUYQ_2_2"/>
      <w:bookmarkStart w:id="1046" w:name="Tc_0uxN0-DGqU-Vnx4ggzPvCw_1_2"/>
      <w:bookmarkStart w:id="1047" w:name="Tc_1ARba26OkEe1WIY_tk7lkg_8_3"/>
      <w:bookmarkStart w:id="1048" w:name="Tc_ETcEA4jiB0CCSxRQoVz21g_8_0"/>
      <w:bookmarkStart w:id="1049" w:name="Tc_cxPPLoraNEyiDBJx5p0Rtg_7_4"/>
      <w:bookmarkStart w:id="1050" w:name="Tc_1bOpXoEUzEea5t76hbU_Zg_7_1"/>
      <w:bookmarkStart w:id="1051" w:name="Tc_dxuLD-cH-kaAeYrpuBNFeA_7_0"/>
      <w:bookmarkStart w:id="1052" w:name="Tc_jLpYvzzv5Em2zjT-v1PZpw_6_0"/>
      <w:bookmarkStart w:id="1053" w:name="Tc_VHE5VDLegEyQ1jtIuuOREA_5_0"/>
      <w:bookmarkStart w:id="1054" w:name="Tc_Lbb9Metq_UCCR15g0cyqjA_4_3"/>
      <w:bookmarkStart w:id="1055" w:name="Tc_Mgm18I3CDkm0_NbABNwr0w_4_0"/>
      <w:bookmarkStart w:id="1056" w:name="Tc_P8JG2Tp_h0OkiSzcU5s7Cg_3_3"/>
      <w:bookmarkStart w:id="1057" w:name="Tc_0mlDguwp7UCRjki10kHMnQ_3_1"/>
      <w:bookmarkStart w:id="1058" w:name="Tc_Zvki6q7Wx0-u3uD0r0l7Dw_2_3"/>
      <w:bookmarkStart w:id="1059" w:name="Tc_sKWrTCKKmkSNdPGGo84GSw_2_1"/>
      <w:bookmarkStart w:id="1060" w:name="Tc_bRVBwZd9rkS18uWOBLe9Lg_1_3"/>
      <w:bookmarkStart w:id="1061" w:name="Tc_9s9LeBgWEEmZi9FI7-WMZw_1_1"/>
      <w:bookmarkStart w:id="1062" w:name="Tc_FPjbJ7J_70WcAAeDCxVRAA_10_9"/>
      <w:bookmarkStart w:id="1063" w:name="Tc_xr_VOPaCo0-MoJmmGQBZbw_10_4"/>
      <w:bookmarkStart w:id="1064" w:name="Tc_pMjoov48G0i9uWnjcqQlhw_10_0"/>
      <w:bookmarkStart w:id="1065" w:name="Tc_T60JFEIu-0SNyXCNibTERQ_9_9"/>
      <w:bookmarkStart w:id="1066" w:name="Tc_tC5LUkGW2UKRQV3x-6sCKg_9_4"/>
      <w:bookmarkStart w:id="1067" w:name="Tc_mOfHNCXxE0-Msqec5QDk2Q_9_0"/>
      <w:bookmarkStart w:id="1068" w:name="Tc_rB3ftal7nEes4o7qj6UHsA_8_10"/>
      <w:bookmarkStart w:id="1069" w:name="Tc_9aVg5NIxik6CPN3HN24Axw_8_7"/>
      <w:bookmarkStart w:id="1070" w:name="Tc_Nnqfmk8oEU2TmAaYRJDAUQ_8_0"/>
      <w:bookmarkStart w:id="1071" w:name="Tc_mniEIEdAuEqircP3_DMCAw_7_7"/>
      <w:bookmarkStart w:id="1072" w:name="Tc_yNkH93ER7UGhuCrR2fDEdw_7_0"/>
      <w:bookmarkStart w:id="1073" w:name="Tc_ssU6ELBkX0OHy6qhsJ7RfA_6_10"/>
      <w:bookmarkStart w:id="1074" w:name="Tc_dMJbZUFlBEaZ03eSNdUseg_6_7"/>
      <w:bookmarkStart w:id="1075" w:name="Tc_X8B-ov82C0Kl-LZWgTSyig_6_0"/>
      <w:bookmarkStart w:id="1076" w:name="Tc_M-HsTReh8E2AcGqiWxHdfg_5_9"/>
      <w:bookmarkStart w:id="1077" w:name="Tc_LHGVWlz3-kKlCeetHgv0Ng_5_4"/>
      <w:bookmarkStart w:id="1078" w:name="Tc_e7sKB_4MLEmBVmQgMLO2rA_5_0"/>
      <w:bookmarkStart w:id="1079" w:name="Tc_Gv_oWjlackiDuEuvDLBZ1Q_4_9"/>
      <w:bookmarkStart w:id="1080" w:name="Tc_YbjJ7kPh_UeJeismKIeyeQ_4_7"/>
      <w:bookmarkStart w:id="1081" w:name="Tc_SNfySeF5UkCpqg3X73acZA_4_4"/>
      <w:bookmarkStart w:id="1082" w:name="Tc_aa7rCcEA2EyzdpmcPIFxWg_4_2"/>
      <w:bookmarkStart w:id="1083" w:name="Tc_tgUjQqLF80qjrTCZaH0E-Q_3_9"/>
      <w:bookmarkStart w:id="1084" w:name="Tc_i8m7LJ9KXkWYcKb2xBjTvQ_3_7"/>
      <w:bookmarkStart w:id="1085" w:name="Tc_qVRoO4QAdkKHvtOB0SXfHw_3_4"/>
      <w:bookmarkStart w:id="1086" w:name="Tc__K48A-9brk6eMeN6M-GEyw_3_2"/>
      <w:bookmarkStart w:id="1087" w:name="Tc_sJgElBB9D0Sncs1R6WKlFQ_2_9"/>
      <w:bookmarkStart w:id="1088" w:name="Tc_3WIg2sCG9ESe4OxlZPHPoA_2_7"/>
      <w:bookmarkStart w:id="1089" w:name="Tc_hqucJcdQT0uuty9g5I2-DQ_2_4"/>
      <w:bookmarkStart w:id="1090" w:name="Tc_7wEWNQxk_0mMTvSPZ1cE0A_2_2"/>
      <w:bookmarkStart w:id="1091" w:name="Tc_gyvYkprILk-EkB8IlybjNA_1_7"/>
      <w:bookmarkStart w:id="1092" w:name="Tc_mBDdlr4EUEeK6wqiapn0og_1_4"/>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r>
        <w:rPr>
          <w:rFonts w:ascii="Times New Roman;Times;serif" w:hAnsi="Times New Roman;Times;serif"/>
          <w:b/>
          <w:i/>
          <w:sz w:val="20"/>
        </w:rPr>
        <w:t>Stock Option Activity</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following table summarizes the stock option activity of the Company under the 2023 Plan and the Inducement Plan:</w:t>
      </w:r>
    </w:p>
    <w:p>
      <w:pPr>
        <w:pStyle w:val="TextBody"/>
        <w:bidi w:val="0"/>
        <w:spacing w:before="0" w:after="0"/>
        <w:ind w:left="0" w:right="0" w:hanging="0"/>
        <w:jc w:val="left"/>
        <w:rPr/>
      </w:pPr>
      <w:r>
        <w:rPr/>
        <w:t>​</w:t>
      </w:r>
    </w:p>
    <w:tbl>
      <w:tblPr>
        <w:tblW w:w="8018" w:type="dxa"/>
        <w:jc w:val="left"/>
        <w:tblInd w:w="0" w:type="dxa"/>
        <w:tblLayout w:type="fixed"/>
        <w:tblCellMar>
          <w:top w:w="0" w:type="dxa"/>
          <w:left w:w="0" w:type="dxa"/>
          <w:bottom w:w="0" w:type="dxa"/>
          <w:right w:w="0" w:type="dxa"/>
        </w:tblCellMar>
      </w:tblPr>
      <w:tblGrid>
        <w:gridCol w:w="2791"/>
        <w:gridCol w:w="346"/>
        <w:gridCol w:w="931"/>
        <w:gridCol w:w="346"/>
        <w:gridCol w:w="248"/>
        <w:gridCol w:w="548"/>
        <w:gridCol w:w="346"/>
        <w:gridCol w:w="1051"/>
        <w:gridCol w:w="346"/>
        <w:gridCol w:w="271"/>
        <w:gridCol w:w="794"/>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772285" cy="175260"/>
                      <wp:effectExtent l="0" t="0" r="0" b="0"/>
                      <wp:wrapNone/>
                      <wp:docPr id="194" name="Frame193"/>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91185" cy="175260"/>
                      <wp:effectExtent l="0" t="0" r="0" b="0"/>
                      <wp:wrapNone/>
                      <wp:docPr id="196" name="Frame19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57480" cy="175260"/>
                      <wp:effectExtent l="0" t="0" r="0" b="0"/>
                      <wp:wrapNone/>
                      <wp:docPr id="198" name="Frame197"/>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47980" cy="175260"/>
                      <wp:effectExtent l="0" t="0" r="0" b="0"/>
                      <wp:wrapNone/>
                      <wp:docPr id="199" name="Frame198"/>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67385" cy="175260"/>
                      <wp:effectExtent l="0" t="0" r="0" b="0"/>
                      <wp:wrapNone/>
                      <wp:docPr id="201" name="Frame20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72085" cy="175260"/>
                      <wp:effectExtent l="0" t="0" r="0" b="0"/>
                      <wp:wrapNone/>
                      <wp:docPr id="203" name="Frame20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04190" cy="175260"/>
                      <wp:effectExtent l="0" t="0" r="0" b="0"/>
                      <wp:wrapNone/>
                      <wp:docPr id="204" name="Frame203"/>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  ​ ​ ​</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  ​ ​ ​</w:t>
            </w:r>
          </w:p>
        </w:tc>
        <w:tc>
          <w:tcPr>
            <w:tcW w:w="1065" w:type="dxa"/>
            <w:gridSpan w:val="2"/>
            <w:tcBorders/>
            <w:vAlign w:val="center"/>
          </w:tcPr>
          <w:p>
            <w:pPr>
              <w:pStyle w:val="TableContents"/>
              <w:bidi w:val="0"/>
              <w:spacing w:before="0" w:after="1"/>
              <w:ind w:left="0" w:right="0" w:hanging="0"/>
              <w:jc w:val="center"/>
              <w:rPr/>
            </w:pPr>
            <w:r>
              <w:rPr/>
              <w:t>​</w:t>
            </w:r>
          </w:p>
        </w:tc>
      </w:tr>
      <w:tr>
        <w:trPr/>
        <w:tc>
          <w:tcPr>
            <w:tcW w:w="2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10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2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center"/>
              <w:rPr/>
            </w:pPr>
            <w:r>
              <w:rPr/>
              <w:t>​</w:t>
            </w:r>
          </w:p>
        </w:tc>
        <w:tc>
          <w:tcPr>
            <w:tcW w:w="10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2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 (years)</w:t>
            </w:r>
          </w:p>
        </w:tc>
        <w:tc>
          <w:tcPr>
            <w:tcW w:w="346" w:type="dxa"/>
            <w:tcBorders/>
            <w:vAlign w:val="center"/>
          </w:tcPr>
          <w:p>
            <w:pPr>
              <w:pStyle w:val="TableContents"/>
              <w:bidi w:val="0"/>
              <w:spacing w:before="0" w:after="1"/>
              <w:ind w:left="0" w:right="0" w:hanging="0"/>
              <w:jc w:val="center"/>
              <w:rPr/>
            </w:pPr>
            <w:r>
              <w:rPr/>
              <w:t>​</w:t>
            </w:r>
          </w:p>
        </w:tc>
        <w:tc>
          <w:tcPr>
            <w:tcW w:w="10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(000s)</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January 1, 2026</w:t>
            </w:r>
          </w:p>
        </w:tc>
        <w:tc>
          <w:tcPr>
            <w:tcW w:w="346"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7,199,571</w:t>
            </w:r>
          </w:p>
        </w:tc>
        <w:tc>
          <w:tcPr>
            <w:tcW w:w="346" w:type="dxa"/>
            <w:tcBorders/>
            <w:shd w:fill="CCEEFF" w:val="clear"/>
            <w:vAlign w:val="center"/>
          </w:tcPr>
          <w:p>
            <w:pPr>
              <w:pStyle w:val="TableContents"/>
              <w:bidi w:val="0"/>
              <w:spacing w:before="0" w:after="1"/>
              <w:ind w:left="0" w:right="0" w:hanging="0"/>
              <w:jc w:val="center"/>
              <w:rPr/>
            </w:pPr>
            <w:r>
              <w:rPr/>
              <w:t> </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6.23</w:t>
            </w:r>
          </w:p>
        </w:tc>
        <w:tc>
          <w:tcPr>
            <w:tcW w:w="346" w:type="dxa"/>
            <w:tcBorders/>
            <w:shd w:fill="CCEEFF" w:val="clear"/>
            <w:vAlign w:val="center"/>
          </w:tcPr>
          <w:p>
            <w:pPr>
              <w:pStyle w:val="TableContents"/>
              <w:bidi w:val="0"/>
              <w:spacing w:before="0" w:after="1"/>
              <w:ind w:left="0" w:right="0" w:hanging="0"/>
              <w:jc w:val="center"/>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w:t>
            </w:r>
          </w:p>
        </w:tc>
        <w:tc>
          <w:tcPr>
            <w:tcW w:w="346" w:type="dxa"/>
            <w:tcBorders/>
            <w:shd w:fill="CCEEFF" w:val="clear"/>
            <w:vAlign w:val="center"/>
          </w:tcPr>
          <w:p>
            <w:pPr>
              <w:pStyle w:val="TableContents"/>
              <w:bidi w:val="0"/>
              <w:spacing w:before="0" w:after="1"/>
              <w:ind w:left="0" w:right="0" w:hanging="0"/>
              <w:jc w:val="center"/>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1,963</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1,602,434</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w:t>
            </w:r>
          </w:p>
        </w:tc>
        <w:tc>
          <w:tcPr>
            <w:tcW w:w="3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71"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(8,528)</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5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71"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Forfeited/canceled</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(308,656)</w:t>
            </w:r>
          </w:p>
        </w:tc>
        <w:tc>
          <w:tcPr>
            <w:tcW w:w="34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w:t>
            </w:r>
          </w:p>
        </w:tc>
        <w:tc>
          <w:tcPr>
            <w:tcW w:w="34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8,484,821</w:t>
            </w:r>
          </w:p>
        </w:tc>
        <w:tc>
          <w:tcPr>
            <w:tcW w:w="346" w:type="dxa"/>
            <w:tcBorders/>
            <w:shd w:fill="CCEEFF" w:val="clear"/>
            <w:vAlign w:val="center"/>
          </w:tcPr>
          <w:p>
            <w:pPr>
              <w:pStyle w:val="TableContents"/>
              <w:bidi w:val="0"/>
              <w:spacing w:before="0" w:after="1"/>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5.79</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7.22</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2,936</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Exercisable at June 30, 2026</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4,969,536</w:t>
            </w:r>
          </w:p>
        </w:tc>
        <w:tc>
          <w:tcPr>
            <w:tcW w:w="346" w:type="dxa"/>
            <w:tcBorders/>
            <w:vAlign w:val="center"/>
          </w:tcPr>
          <w:p>
            <w:pPr>
              <w:pStyle w:val="TableContents"/>
              <w:bidi w:val="0"/>
              <w:spacing w:before="0" w:after="1"/>
              <w:ind w:left="0" w:right="0" w:hanging="0"/>
              <w:jc w:val="left"/>
              <w:rPr/>
            </w:pPr>
            <w:r>
              <w:rPr/>
              <w:t> </w:t>
            </w:r>
          </w:p>
        </w:tc>
        <w:tc>
          <w:tcPr>
            <w:tcW w:w="2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7.00</w:t>
            </w:r>
          </w:p>
        </w:tc>
        <w:tc>
          <w:tcPr>
            <w:tcW w:w="346" w:type="dxa"/>
            <w:tcBorders/>
            <w:vAlign w:val="center"/>
          </w:tcPr>
          <w:p>
            <w:pPr>
              <w:pStyle w:val="TableContents"/>
              <w:bidi w:val="0"/>
              <w:spacing w:before="0" w:after="1"/>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5.96</w:t>
            </w:r>
          </w:p>
        </w:tc>
        <w:tc>
          <w:tcPr>
            <w:tcW w:w="346" w:type="dxa"/>
            <w:tcBorders/>
            <w:vAlign w:val="center"/>
          </w:tcPr>
          <w:p>
            <w:pPr>
              <w:pStyle w:val="TableContents"/>
              <w:bidi w:val="0"/>
              <w:spacing w:before="0" w:after="1"/>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4"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708</w:t>
            </w:r>
          </w:p>
        </w:tc>
      </w:tr>
    </w:tbl>
    <w:p>
      <w:pPr>
        <w:pStyle w:val="TextBody"/>
        <w:bidi w:val="0"/>
        <w:spacing w:before="0" w:after="0"/>
        <w:ind w:left="0" w:right="0" w:hanging="0"/>
        <w:jc w:val="left"/>
        <w:rPr/>
      </w:pPr>
      <w:r>
        <w:rPr/>
        <w:t>​</w:t>
      </w:r>
    </w:p>
    <w:p>
      <w:pPr>
        <w:pStyle w:val="TextBody"/>
        <w:bidi w:val="0"/>
        <w:spacing w:before="24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The weighted average grant-date fair value of stock options granted during the six months ended June 30, 2026 and 2025 was $3.27 and $2.18 per share, respectively. </w:t>
      </w:r>
    </w:p>
    <w:p>
      <w:pPr>
        <w:pStyle w:val="TextBody"/>
        <w:bidi w:val="0"/>
        <w:spacing w:before="240" w:after="0"/>
        <w:ind w:left="0" w:right="0" w:hanging="0"/>
        <w:jc w:val="both"/>
        <w:rPr>
          <w:rFonts w:ascii="Times New Roman;Times;serif" w:hAnsi="Times New Roman;Times;serif"/>
          <w:b/>
          <w:i/>
          <w:sz w:val="20"/>
        </w:rPr>
      </w:pPr>
      <w:r>
        <w:rPr>
          <w:rFonts w:ascii="Times New Roman;Times;serif" w:hAnsi="Times New Roman;Times;serif"/>
          <w:b/>
          <w:i/>
          <w:sz w:val="20"/>
        </w:rPr>
        <w:t>Restricted Equity Awards Activity</w:t>
      </w:r>
    </w:p>
    <w:p>
      <w:pPr>
        <w:pStyle w:val="TextBody"/>
        <w:bidi w:val="0"/>
        <w:spacing w:before="24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following table summarizes the restricted stock awards and restricted stock units activity of the Company under the 2023 Plan:</w:t>
      </w:r>
    </w:p>
    <w:p>
      <w:pPr>
        <w:pStyle w:val="TextBody"/>
        <w:bidi w:val="0"/>
        <w:spacing w:before="0" w:after="0"/>
        <w:ind w:left="0" w:right="0" w:hanging="0"/>
        <w:jc w:val="left"/>
        <w:rPr/>
      </w:pPr>
      <w:r>
        <w:rPr/>
        <w:t>​</w:t>
      </w:r>
    </w:p>
    <w:tbl>
      <w:tblPr>
        <w:tblW w:w="5691" w:type="dxa"/>
        <w:jc w:val="left"/>
        <w:tblInd w:w="0" w:type="dxa"/>
        <w:tblLayout w:type="fixed"/>
        <w:tblCellMar>
          <w:top w:w="0" w:type="dxa"/>
          <w:left w:w="0" w:type="dxa"/>
          <w:bottom w:w="0" w:type="dxa"/>
          <w:right w:w="0" w:type="dxa"/>
        </w:tblCellMar>
      </w:tblPr>
      <w:tblGrid>
        <w:gridCol w:w="2791"/>
        <w:gridCol w:w="1291"/>
        <w:gridCol w:w="109"/>
        <w:gridCol w:w="399"/>
        <w:gridCol w:w="1101"/>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772285" cy="175260"/>
                      <wp:effectExtent l="0" t="0" r="0" b="0"/>
                      <wp:wrapNone/>
                      <wp:docPr id="205" name="Frame204"/>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819785" cy="175260"/>
                      <wp:effectExtent l="0" t="0" r="0" b="0"/>
                      <wp:wrapNone/>
                      <wp:docPr id="206" name="Frame205"/>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9215" cy="175260"/>
                      <wp:effectExtent l="0" t="0" r="0" b="0"/>
                      <wp:wrapNone/>
                      <wp:docPr id="207"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53365" cy="175260"/>
                      <wp:effectExtent l="0" t="0" r="0" b="0"/>
                      <wp:wrapNone/>
                      <wp:docPr id="208" name="Frame207"/>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9135" cy="175260"/>
                      <wp:effectExtent l="0" t="0" r="0" b="0"/>
                      <wp:wrapNone/>
                      <wp:docPr id="209" name="Frame208"/>
                      <a:graphic xmlns:a="http://schemas.openxmlformats.org/drawingml/2006/main">
                        <a:graphicData uri="http://schemas.microsoft.com/office/word/2010/wordprocessingShape">
                          <wps:wsp>
                            <wps:cNvSpPr txBox="1"/>
                            <wps:spPr>
                              <a:xfrm>
                                <a:off x="0" y="0"/>
                                <a:ext cx="699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Stock</w:t>
            </w:r>
          </w:p>
        </w:tc>
        <w:tc>
          <w:tcPr>
            <w:tcW w:w="109"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791"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Awards/Units</w:t>
            </w:r>
          </w:p>
        </w:tc>
        <w:tc>
          <w:tcPr>
            <w:tcW w:w="109"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791" w:type="dxa"/>
            <w:tcBorders/>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109" w:type="dxa"/>
            <w:tcBorders/>
            <w:vAlign w:val="center"/>
          </w:tcPr>
          <w:p>
            <w:pPr>
              <w:pStyle w:val="TableContents"/>
              <w:bidi w:val="0"/>
              <w:spacing w:before="0" w:after="0"/>
              <w:ind w:left="0" w:right="0" w:hanging="0"/>
              <w:jc w:val="center"/>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at January 1, 2026</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2,300,651</w:t>
            </w:r>
          </w:p>
        </w:tc>
        <w:tc>
          <w:tcPr>
            <w:tcW w:w="109" w:type="dxa"/>
            <w:tcBorders/>
            <w:shd w:fill="CCEEFF" w:val="clear"/>
            <w:vAlign w:val="center"/>
          </w:tcPr>
          <w:p>
            <w:pPr>
              <w:pStyle w:val="TableContents"/>
              <w:bidi w:val="0"/>
              <w:spacing w:before="0" w:after="0"/>
              <w:ind w:left="0" w:right="0" w:hanging="0"/>
              <w:jc w:val="center"/>
              <w:rPr/>
            </w:pPr>
            <w:r>
              <w:rPr/>
              <w:t>​</w:t>
            </w:r>
          </w:p>
        </w:tc>
        <w:tc>
          <w:tcPr>
            <w:tcW w:w="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1,721,631</w:t>
            </w:r>
          </w:p>
        </w:tc>
        <w:tc>
          <w:tcPr>
            <w:tcW w:w="109" w:type="dxa"/>
            <w:tcBorders/>
            <w:vAlign w:val="center"/>
          </w:tcPr>
          <w:p>
            <w:pPr>
              <w:pStyle w:val="TableContents"/>
              <w:bidi w:val="0"/>
              <w:spacing w:before="0" w:after="0"/>
              <w:ind w:left="0" w:right="0" w:hanging="0"/>
              <w:jc w:val="center"/>
              <w:rPr/>
            </w:pPr>
            <w:r>
              <w:rPr/>
              <w:t>​</w:t>
            </w:r>
          </w:p>
        </w:tc>
        <w:tc>
          <w:tcPr>
            <w:tcW w:w="399"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(504,056)</w:t>
            </w:r>
          </w:p>
        </w:tc>
        <w:tc>
          <w:tcPr>
            <w:tcW w:w="109" w:type="dxa"/>
            <w:tcBorders/>
            <w:shd w:fill="CCEEFF" w:val="clear"/>
            <w:vAlign w:val="center"/>
          </w:tcPr>
          <w:p>
            <w:pPr>
              <w:pStyle w:val="TableContents"/>
              <w:bidi w:val="0"/>
              <w:spacing w:before="0" w:after="0"/>
              <w:ind w:left="0" w:right="0" w:hanging="0"/>
              <w:jc w:val="center"/>
              <w:rPr/>
            </w:pPr>
            <w:r>
              <w:rPr/>
              <w:t>​</w:t>
            </w:r>
          </w:p>
        </w:tc>
        <w:tc>
          <w:tcPr>
            <w:tcW w:w="399"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Forfeited/canceled</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June 30, 2026</w:t>
            </w:r>
          </w:p>
        </w:tc>
        <w:tc>
          <w:tcPr>
            <w:tcW w:w="12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3,518,226</w:t>
            </w:r>
          </w:p>
        </w:tc>
        <w:tc>
          <w:tcPr>
            <w:tcW w:w="109" w:type="dxa"/>
            <w:tcBorders/>
            <w:shd w:fill="CCEEFF" w:val="clear"/>
            <w:vAlign w:val="center"/>
          </w:tcPr>
          <w:p>
            <w:pPr>
              <w:pStyle w:val="TableContents"/>
              <w:bidi w:val="0"/>
              <w:spacing w:before="0" w:after="0"/>
              <w:ind w:left="0" w:right="0" w:hanging="0"/>
              <w:jc w:val="left"/>
              <w:rPr/>
            </w:pPr>
            <w:r>
              <w:rPr/>
              <w:t>​</w:t>
            </w:r>
          </w:p>
        </w:tc>
        <w:tc>
          <w:tcPr>
            <w:tcW w:w="3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3.55</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No performance-based restricted stock awards or units were granted during the six months ended June 30, 2026. The fair value of restricted stock units vested during the three and six months ended June 30, 2026 was $1.7 million and $3.2 million, respectively.</w:t>
      </w:r>
    </w:p>
    <w:p>
      <w:pPr>
        <w:pStyle w:val="TextBody"/>
        <w:bidi w:val="0"/>
        <w:spacing w:before="0" w:after="0"/>
        <w:ind w:left="0" w:right="0" w:firstLine="36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Determination of Stock Option Awards Fair Value</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estimated grant-date fair value of all the Company’s option awards was calculated using the Black-Scholes option pricing model, based on the following weighted average assumptions:</w:t>
      </w:r>
    </w:p>
    <w:p>
      <w:pPr>
        <w:pStyle w:val="TextBody"/>
        <w:bidi w:val="0"/>
        <w:spacing w:before="0" w:after="0"/>
        <w:ind w:left="0" w:right="0" w:hanging="0"/>
        <w:jc w:val="left"/>
        <w:rPr/>
      </w:pPr>
      <w:r>
        <w:rPr/>
        <w:t>​</w:t>
      </w:r>
    </w:p>
    <w:tbl>
      <w:tblPr>
        <w:tblW w:w="5146" w:type="dxa"/>
        <w:jc w:val="left"/>
        <w:tblInd w:w="0" w:type="dxa"/>
        <w:tblLayout w:type="fixed"/>
        <w:tblCellMar>
          <w:top w:w="0" w:type="dxa"/>
          <w:left w:w="0" w:type="dxa"/>
          <w:bottom w:w="0" w:type="dxa"/>
          <w:right w:w="0" w:type="dxa"/>
        </w:tblCellMar>
      </w:tblPr>
      <w:tblGrid>
        <w:gridCol w:w="2371"/>
        <w:gridCol w:w="346"/>
        <w:gridCol w:w="152"/>
        <w:gridCol w:w="652"/>
        <w:gridCol w:w="505"/>
        <w:gridCol w:w="152"/>
        <w:gridCol w:w="652"/>
        <w:gridCol w:w="316"/>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505585" cy="175260"/>
                      <wp:effectExtent l="0" t="0" r="0" b="0"/>
                      <wp:wrapNone/>
                      <wp:docPr id="210" name="Frame209"/>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96520" cy="175260"/>
                      <wp:effectExtent l="0" t="0" r="0" b="0"/>
                      <wp:wrapNone/>
                      <wp:docPr id="212" name="Frame211"/>
                      <a:graphic xmlns:a="http://schemas.openxmlformats.org/drawingml/2006/main">
                        <a:graphicData uri="http://schemas.microsoft.com/office/word/2010/wordprocessingShape">
                          <wps:wsp>
                            <wps:cNvSpPr txBox="1"/>
                            <wps:spPr>
                              <a:xfrm>
                                <a:off x="0" y="0"/>
                                <a:ext cx="96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14020" cy="175260"/>
                      <wp:effectExtent l="0" t="0" r="0" b="0"/>
                      <wp:wrapNone/>
                      <wp:docPr id="213" name="Frame212"/>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20675" cy="175260"/>
                      <wp:effectExtent l="0" t="0" r="0" b="0"/>
                      <wp:wrapNone/>
                      <wp:docPr id="214" name="Frame213"/>
                      <a:graphic xmlns:a="http://schemas.openxmlformats.org/drawingml/2006/main">
                        <a:graphicData uri="http://schemas.microsoft.com/office/word/2010/wordprocessingShape">
                          <wps:wsp>
                            <wps:cNvSpPr txBox="1"/>
                            <wps:spPr>
                              <a:xfrm>
                                <a:off x="0" y="0"/>
                                <a:ext cx="320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96520" cy="175260"/>
                      <wp:effectExtent l="0" t="0" r="0" b="0"/>
                      <wp:wrapNone/>
                      <wp:docPr id="215" name="Frame214"/>
                      <a:graphic xmlns:a="http://schemas.openxmlformats.org/drawingml/2006/main">
                        <a:graphicData uri="http://schemas.microsoft.com/office/word/2010/wordprocessingShape">
                          <wps:wsp>
                            <wps:cNvSpPr txBox="1"/>
                            <wps:spPr>
                              <a:xfrm>
                                <a:off x="0" y="0"/>
                                <a:ext cx="96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14020" cy="175260"/>
                      <wp:effectExtent l="0" t="0" r="0" b="0"/>
                      <wp:wrapNone/>
                      <wp:docPr id="216" name="Frame215"/>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0660" cy="175260"/>
                      <wp:effectExtent l="0" t="0" r="0" b="0"/>
                      <wp:wrapNone/>
                      <wp:docPr id="217" name="Frame21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05" w:type="dxa"/>
            <w:tcBorders/>
            <w:vAlign w:val="center"/>
          </w:tcPr>
          <w:p>
            <w:pPr>
              <w:pStyle w:val="TableContents"/>
              <w:bidi w:val="0"/>
              <w:spacing w:before="0" w:after="0"/>
              <w:ind w:left="0" w:right="0" w:hanging="0"/>
              <w:jc w:val="left"/>
              <w:rPr/>
            </w:pPr>
            <w:r>
              <w:rPr/>
              <w:t>​</w:t>
            </w:r>
          </w:p>
        </w:tc>
        <w:tc>
          <w:tcPr>
            <w:tcW w:w="8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 </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46"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0"/>
              <w:ind w:left="0" w:right="0" w:hanging="0"/>
              <w:jc w:val="righ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w:t>
            </w:r>
          </w:p>
        </w:tc>
        <w:tc>
          <w:tcPr>
            <w:tcW w:w="505"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0"/>
              <w:ind w:left="0" w:right="0" w:hanging="0"/>
              <w:jc w:val="righ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2" w:type="dxa"/>
            <w:tcBorders/>
            <w:vAlign w:val="center"/>
          </w:tcPr>
          <w:p>
            <w:pPr>
              <w:pStyle w:val="TableContents"/>
              <w:bidi w:val="0"/>
              <w:spacing w:before="0" w:after="0"/>
              <w:ind w:left="0" w:right="0" w:hanging="0"/>
              <w:jc w:val="righ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0"/>
              <w:ind w:left="0" w:right="0" w:hanging="0"/>
              <w:jc w:val="righ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2" w:type="dxa"/>
            <w:tcBorders/>
            <w:shd w:fill="CCEEFF" w:val="clear"/>
            <w:vAlign w:val="center"/>
          </w:tcPr>
          <w:p>
            <w:pPr>
              <w:pStyle w:val="TableContents"/>
              <w:bidi w:val="0"/>
              <w:spacing w:before="0" w:after="0"/>
              <w:ind w:left="0" w:right="0" w:hanging="0"/>
              <w:jc w:val="righ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2" w:type="dxa"/>
            <w:tcBorders/>
            <w:vAlign w:val="center"/>
          </w:tcPr>
          <w:p>
            <w:pPr>
              <w:pStyle w:val="TableContents"/>
              <w:bidi w:val="0"/>
              <w:spacing w:before="0" w:after="0"/>
              <w:ind w:left="0" w:right="0" w:hanging="0"/>
              <w:jc w:val="righ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505" w:type="dxa"/>
            <w:tcBorders/>
            <w:shd w:fill="CCEEFF" w:val="clear"/>
            <w:vAlign w:val="center"/>
          </w:tcPr>
          <w:p>
            <w:pPr>
              <w:pStyle w:val="TableContents"/>
              <w:bidi w:val="0"/>
              <w:spacing w:before="0" w:after="0"/>
              <w:ind w:left="0" w:right="0" w:hanging="0"/>
              <w:jc w:val="right"/>
              <w:rPr/>
            </w:pPr>
            <w:r>
              <w:rPr/>
              <w:t>​</w:t>
            </w:r>
          </w:p>
        </w:tc>
        <w:tc>
          <w:tcPr>
            <w:tcW w:w="152" w:type="dxa"/>
            <w:tcBorders/>
            <w:shd w:fill="CCEEFF" w:val="clear"/>
            <w:vAlign w:val="center"/>
          </w:tcPr>
          <w:p>
            <w:pPr>
              <w:pStyle w:val="TableContents"/>
              <w:bidi w:val="0"/>
              <w:spacing w:before="0" w:after="0"/>
              <w:ind w:left="0" w:right="0" w:hanging="0"/>
              <w:jc w:val="righ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fair value of each stock option grant was determined by the Company using the methods and assumptions discussed below. Each of these inputs is subjective and generally requires significant judgment and estimation by management.</w:t>
      </w:r>
    </w:p>
    <w:p>
      <w:pPr>
        <w:pStyle w:val="TextBody"/>
        <w:bidi w:val="0"/>
        <w:spacing w:before="0" w:after="0"/>
        <w:ind w:left="0" w:right="0" w:firstLine="360"/>
        <w:jc w:val="both"/>
        <w:rPr>
          <w:color w:val="231F20"/>
          <w:spacing w:val="-10"/>
        </w:rPr>
      </w:pPr>
      <w:r>
        <w:rPr>
          <w:color w:val="231F20"/>
          <w:spacing w:val="-10"/>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color w:val="231F20"/>
          <w:spacing w:val="-10"/>
          <w:sz w:val="20"/>
        </w:rPr>
        <w:t>Expected Term</w:t>
      </w:r>
      <w:r>
        <w:rPr>
          <w:rFonts w:ascii="Times New Roman;Times;serif" w:hAnsi="Times New Roman;Times;serif"/>
          <w:sz w:val="20"/>
        </w:rPr>
        <w:t> — </w:t>
      </w:r>
      <w:r>
        <w:rPr>
          <w:rFonts w:ascii="Times New Roman;Times;serif" w:hAnsi="Times New Roman;Times;serif"/>
          <w:color w:val="231F20"/>
          <w:spacing w:val="-10"/>
          <w:sz w:val="20"/>
        </w:rPr>
        <w:t>The expected term represents the period that stock-based awards are expected to be outstanding. The Company’s historical share option exercise information is limited due to a lack of sufficient data points and did not provide a reasonable basis upon which to estimate an expected term. The expected term for option grants is therefore determined using the “simplified” method, as prescribed in the Securities and Exchange Commission’s Staff Accounting Bulletin (SAB) No. 107. The simplified method deems the expected term to be the midpoint between the vesting date and the contractual life of the stock-based awards.</w:t>
      </w:r>
    </w:p>
    <w:p>
      <w:pPr>
        <w:pStyle w:val="TextBody"/>
        <w:bidi w:val="0"/>
        <w:spacing w:before="0" w:after="0"/>
        <w:ind w:left="0" w:right="0" w:hanging="0"/>
        <w:jc w:val="left"/>
        <w:rPr>
          <w:color w:val="231F20"/>
          <w:spacing w:val="-10"/>
        </w:rPr>
      </w:pPr>
      <w:r>
        <w:rPr>
          <w:color w:val="231F20"/>
          <w:spacing w:val="-1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i/>
          <w:color w:val="231F20"/>
          <w:spacing w:val="-10"/>
          <w:sz w:val="20"/>
        </w:rPr>
        <w:t>Expected Volatility</w:t>
      </w:r>
      <w:r>
        <w:rPr>
          <w:rFonts w:ascii="Times New Roman;Times;serif" w:hAnsi="Times New Roman;Times;serif"/>
          <w:sz w:val="20"/>
        </w:rPr>
        <w:t> — </w:t>
      </w:r>
      <w:r>
        <w:rPr>
          <w:rFonts w:ascii="Times New Roman;Times;serif" w:hAnsi="Times New Roman;Times;serif"/>
          <w:color w:val="231F20"/>
          <w:spacing w:val="-10"/>
          <w:sz w:val="20"/>
        </w:rPr>
        <w:t xml:space="preserve">The Company derives volatility over the expected term using its own historical stock price volatility.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color w:val="231F20"/>
          <w:spacing w:val="-10"/>
          <w:sz w:val="20"/>
        </w:rPr>
        <w:t>Risk-Free Interest Rate</w:t>
      </w:r>
      <w:r>
        <w:rPr>
          <w:rFonts w:ascii="Times New Roman;Times;serif" w:hAnsi="Times New Roman;Times;serif"/>
          <w:sz w:val="20"/>
        </w:rPr>
        <w:t> — </w:t>
      </w:r>
      <w:r>
        <w:rPr>
          <w:rFonts w:ascii="Times New Roman;Times;serif" w:hAnsi="Times New Roman;Times;serif"/>
          <w:color w:val="231F20"/>
          <w:spacing w:val="-10"/>
          <w:sz w:val="20"/>
        </w:rPr>
        <w:t>The risk-free interest rate is based on the U.S. Treasury yield curve in effect at the date of grant for zero-coupon U.S. Treasury notes with maturities approximately equal to the stock-based awards’ expected term.</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i/>
          <w:color w:val="231F20"/>
          <w:spacing w:val="-10"/>
          <w:sz w:val="20"/>
        </w:rPr>
        <w:t>Expected Dividend Yield </w:t>
      </w:r>
      <w:r>
        <w:rPr>
          <w:rFonts w:ascii="Times New Roman;Times;serif" w:hAnsi="Times New Roman;Times;serif"/>
          <w:sz w:val="20"/>
        </w:rPr>
        <w:t>— </w:t>
      </w:r>
      <w:r>
        <w:rPr>
          <w:rFonts w:ascii="Times New Roman;Times;serif" w:hAnsi="Times New Roman;Times;serif"/>
          <w:color w:val="231F20"/>
          <w:spacing w:val="-10"/>
          <w:sz w:val="20"/>
        </w:rPr>
        <w:t>The expected dividend yield is zero as the Company has not paid, and the Company does not anticipate paying, any dividends on the Common Stock in the foreseeable future.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i/>
          <w:color w:val="231F20"/>
          <w:spacing w:val="-10"/>
          <w:sz w:val="20"/>
        </w:rPr>
        <w:t>Fair Value of Common Stock</w:t>
      </w:r>
      <w:r>
        <w:rPr>
          <w:rFonts w:ascii="Times New Roman;Times;serif" w:hAnsi="Times New Roman;Times;serif"/>
          <w:sz w:val="20"/>
        </w:rPr>
        <w:t> — The Company utilizes the price of its publicly-traded Common Stock to determine the grant date fair value of awards</w:t>
      </w:r>
      <w:r>
        <w:rPr>
          <w:rFonts w:ascii="Times New Roman;Times;serif" w:hAnsi="Times New Roman;Times;serif"/>
          <w:color w:val="231F20"/>
          <w:spacing w:val="-10"/>
          <w:sz w:val="20"/>
        </w:rPr>
        <w:t>.</w:t>
      </w:r>
    </w:p>
    <w:p>
      <w:pPr>
        <w:pStyle w:val="TextBody"/>
        <w:bidi w:val="0"/>
        <w:spacing w:before="0" w:after="200"/>
        <w:ind w:left="0" w:right="0" w:hanging="0"/>
        <w:jc w:val="both"/>
        <w:rPr>
          <w:rFonts w:ascii="Times New Roman;Times;serif" w:hAnsi="Times New Roman;Times;serif"/>
          <w:b/>
          <w:sz w:val="20"/>
        </w:rPr>
      </w:pPr>
      <w:bookmarkStart w:id="1093" w:name="Tc_sJdwsLulnkK498bOq3L5qw_6_11"/>
      <w:bookmarkStart w:id="1094" w:name="Tc_-zBKBS90G0iLUbMTRqlWFg_6_8"/>
      <w:bookmarkStart w:id="1095" w:name="Tc_JVGu_nqQxUavs-yfLjW24Q_6_5"/>
      <w:bookmarkStart w:id="1096" w:name="Tc_UxKwQzdAW02RlYoePyKzWQ_6_2"/>
      <w:bookmarkStart w:id="1097" w:name="Tc_0f5DEsjU30yU0R_n0frcOQ_5_0"/>
      <w:bookmarkStart w:id="1098" w:name="Tc_EQPCNEqq40WfK0mDSlItJw_4_0"/>
      <w:bookmarkStart w:id="1099" w:name="Tc_ziAOkBHJp0G0-QkBhAAeDw_3_11"/>
      <w:bookmarkStart w:id="1100" w:name="Tc_UY-U4r0Vt0O_xl6l11gC-A_3_8"/>
      <w:bookmarkStart w:id="1101" w:name="Tc_BCN_IntYyEGu2iKSLL3qZw_3_5"/>
      <w:bookmarkStart w:id="1102" w:name="Tc_8OPgirtaGUuI64zeBiDlYw_3_2"/>
      <w:bookmarkStart w:id="1103" w:name="Tc_V5549MVwoUWFvuzZl6COuQ_3_0"/>
      <w:bookmarkStart w:id="1104" w:name="Tc_8PYRONiztE-iaw6SFiMQoA_2_11"/>
      <w:bookmarkStart w:id="1105" w:name="Tc_hM3GyZo9HkWynqFGIXdOyQ_2_8"/>
      <w:bookmarkStart w:id="1106" w:name="Tc_HEeI0r8DikuFLu_sxoOOBA_2_5"/>
      <w:bookmarkStart w:id="1107" w:name="Tc_SB7RBPzEhUuXieQ16xR4qA_2_2"/>
      <w:bookmarkStart w:id="1108" w:name="Tc_HQCXPKfmHUa70K-_NqPm6w_2_0"/>
      <w:bookmarkStart w:id="1109" w:name="Tc_PWxAXHjOrEWwSM2XdzLXWA_1_8"/>
      <w:bookmarkStart w:id="1110" w:name="Tc_J5crZTkCZUSlMnty3__FcA_1_2"/>
      <w:bookmarkStart w:id="1111" w:name="Tc_WK-UjgOvIUyc-RUxyl97jg_3_3"/>
      <w:bookmarkStart w:id="1112" w:name="Tc_R2q2UHwebEuijok7N1Kd6w_3_0"/>
      <w:bookmarkStart w:id="1113" w:name="Tc_o_zbd137OUKGljRLRlRpMQ_2_0"/>
      <w:bookmarkStart w:id="1114" w:name="Tc__WHXCc2rfkabUGHmfEzihQ_1_0"/>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r>
        <w:rPr>
          <w:rFonts w:ascii="Times New Roman;Times;serif" w:hAnsi="Times New Roman;Times;serif"/>
          <w:b/>
          <w:sz w:val="20"/>
        </w:rPr>
        <w:t>11. Leases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Office Lease</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In August 2024, the Company entered into an additional addendum to the lease agreement for office space in New Hope, PA originally entered into by Orchestra BioMed, Inc. in December 2009 (as amended, the “New Hope Lease”). The New Hope Lease covers 8,052 square feet and will expire in September 2027. Monthly fees under the New Hope Lease range between $17,000 and $19,000 for the period from the August 2024 addendum through expiration.</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In November 2019, Orchestra BioMed, Inc. entered into a new lease agreement for approximately 5,200 square feet of office space in New York, NY. In November 2022, Orchestra BioMed, Inc. entered into an amendment for this lease which increased the office space square footage to approximately 7,800 and amended the expiration to April 2028. Monthly fees range between $28,000 and $40,000 for the period from commencement through expiration.</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In September 2024, the Company entered into a new lease for 6,496 square feet of office space in Fort Lauderdale, Florida. The agreement will expire in December 2027. The monthly fees commenced in November 2024, the commencement date of the agreement, and range between $16,000 and $17,000 for the period from commencement through expiration.</w:t>
      </w:r>
    </w:p>
    <w:p>
      <w:pPr>
        <w:pStyle w:val="TextBody"/>
        <w:bidi w:val="0"/>
        <w:spacing w:before="0" w:after="240"/>
        <w:ind w:left="0" w:right="0" w:hanging="0"/>
        <w:jc w:val="both"/>
        <w:rPr>
          <w:rFonts w:ascii="Times New Roman;Times;serif" w:hAnsi="Times New Roman;Times;serif"/>
          <w:i/>
          <w:color w:val="231F20"/>
          <w:spacing w:val="-10"/>
          <w:sz w:val="20"/>
        </w:rPr>
      </w:pPr>
      <w:r>
        <w:rPr>
          <w:rFonts w:ascii="Times New Roman;Times;serif" w:hAnsi="Times New Roman;Times;serif"/>
          <w:i/>
          <w:color w:val="231F20"/>
          <w:spacing w:val="-10"/>
          <w:sz w:val="20"/>
        </w:rPr>
        <w:t>Operating cash flow supplemental information for the six months ended June 30, 2026:</w:t>
      </w:r>
    </w:p>
    <w:p>
      <w:pPr>
        <w:pStyle w:val="TextBody"/>
        <w:bidi w:val="0"/>
        <w:spacing w:before="0" w:after="20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Cash paid for amounts included in the present value of operating lease liabilities was $524,000 during the six months ended June 30, 2026 compared to $503,000 during the six months ended June 30, 2025.</w:t>
      </w:r>
    </w:p>
    <w:p>
      <w:pPr>
        <w:pStyle w:val="TextBody"/>
        <w:bidi w:val="0"/>
        <w:spacing w:before="0" w:after="0"/>
        <w:ind w:left="0" w:right="0" w:hanging="0"/>
        <w:jc w:val="left"/>
        <w:rPr/>
      </w:pPr>
      <w:r>
        <w:rPr/>
        <w:t>​</w:t>
      </w:r>
    </w:p>
    <w:tbl>
      <w:tblPr>
        <w:tblW w:w="6664" w:type="dxa"/>
        <w:jc w:val="left"/>
        <w:tblInd w:w="0" w:type="dxa"/>
        <w:tblLayout w:type="fixed"/>
        <w:tblCellMar>
          <w:top w:w="0" w:type="dxa"/>
          <w:left w:w="0" w:type="dxa"/>
          <w:bottom w:w="0" w:type="dxa"/>
          <w:right w:w="0" w:type="dxa"/>
        </w:tblCellMar>
      </w:tblPr>
      <w:tblGrid>
        <w:gridCol w:w="5536"/>
        <w:gridCol w:w="346"/>
        <w:gridCol w:w="466"/>
        <w:gridCol w:w="316"/>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515360" cy="175260"/>
                      <wp:effectExtent l="0" t="0" r="0" b="0"/>
                      <wp:wrapNone/>
                      <wp:docPr id="218" name="Frame217"/>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95910" cy="175260"/>
                      <wp:effectExtent l="0" t="0" r="0" b="0"/>
                      <wp:wrapNone/>
                      <wp:docPr id="220" name="Frame21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0660" cy="175260"/>
                      <wp:effectExtent l="0" t="0" r="0" b="0"/>
                      <wp:wrapNone/>
                      <wp:docPr id="221" name="Frame22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 of June 30, 2026:</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316" w:type="dxa"/>
            <w:tcBorders/>
            <w:vAlign w:val="center"/>
          </w:tcPr>
          <w:p>
            <w:pPr>
              <w:pStyle w:val="TableContents"/>
              <w:bidi w:val="0"/>
              <w:spacing w:before="0" w:after="0"/>
              <w:ind w:left="0" w:right="0" w:hanging="0"/>
              <w:jc w:val="center"/>
              <w:rPr/>
            </w:pPr>
            <w:r>
              <w:rPr/>
              <w:t> </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 operating leases, in years</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 – operating leases</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Leases</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components of lease expense were as follows:</w:t>
      </w:r>
    </w:p>
    <w:p>
      <w:pPr>
        <w:pStyle w:val="TextBody"/>
        <w:bidi w:val="0"/>
        <w:spacing w:before="0" w:after="0"/>
        <w:ind w:left="0" w:right="0" w:hanging="0"/>
        <w:jc w:val="left"/>
        <w:rPr/>
      </w:pPr>
      <w:r>
        <w:rPr/>
        <w:t>​</w:t>
      </w:r>
    </w:p>
    <w:tbl>
      <w:tblPr>
        <w:tblW w:w="7290" w:type="dxa"/>
        <w:jc w:val="left"/>
        <w:tblInd w:w="0" w:type="dxa"/>
        <w:tblLayout w:type="fixed"/>
        <w:tblCellMar>
          <w:top w:w="0" w:type="dxa"/>
          <w:left w:w="0" w:type="dxa"/>
          <w:bottom w:w="0" w:type="dxa"/>
          <w:right w:w="0" w:type="dxa"/>
        </w:tblCellMar>
      </w:tblPr>
      <w:tblGrid>
        <w:gridCol w:w="2131"/>
        <w:gridCol w:w="346"/>
        <w:gridCol w:w="302"/>
        <w:gridCol w:w="604"/>
        <w:gridCol w:w="496"/>
        <w:gridCol w:w="302"/>
        <w:gridCol w:w="604"/>
        <w:gridCol w:w="346"/>
        <w:gridCol w:w="264"/>
        <w:gridCol w:w="527"/>
        <w:gridCol w:w="433"/>
        <w:gridCol w:w="264"/>
        <w:gridCol w:w="671"/>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53185" cy="175260"/>
                      <wp:effectExtent l="0" t="0" r="0" b="0"/>
                      <wp:wrapNone/>
                      <wp:docPr id="222" name="Frame221"/>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91770" cy="175260"/>
                      <wp:effectExtent l="0" t="0" r="0" b="0"/>
                      <wp:wrapNone/>
                      <wp:docPr id="224" name="Frame223"/>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83540" cy="175260"/>
                      <wp:effectExtent l="0" t="0" r="0" b="0"/>
                      <wp:wrapNone/>
                      <wp:docPr id="225" name="Frame224"/>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14960" cy="175260"/>
                      <wp:effectExtent l="0" t="0" r="0" b="0"/>
                      <wp:wrapNone/>
                      <wp:docPr id="226" name="Frame225"/>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91770" cy="175260"/>
                      <wp:effectExtent l="0" t="0" r="0" b="0"/>
                      <wp:wrapNone/>
                      <wp:docPr id="227" name="Frame226"/>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83540" cy="175260"/>
                      <wp:effectExtent l="0" t="0" r="0" b="0"/>
                      <wp:wrapNone/>
                      <wp:docPr id="228" name="Frame227"/>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67640" cy="175260"/>
                      <wp:effectExtent l="0" t="0" r="0" b="0"/>
                      <wp:wrapNone/>
                      <wp:docPr id="230" name="Frame229"/>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34645" cy="175260"/>
                      <wp:effectExtent l="0" t="0" r="0" b="0"/>
                      <wp:wrapNone/>
                      <wp:docPr id="231" name="Frame230"/>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74955" cy="175260"/>
                      <wp:effectExtent l="0" t="0" r="0" b="0"/>
                      <wp:wrapNone/>
                      <wp:docPr id="232" name="Frame231"/>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67640" cy="175260"/>
                      <wp:effectExtent l="0" t="0" r="0" b="0"/>
                      <wp:wrapNone/>
                      <wp:docPr id="233" name="Frame232"/>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26085" cy="175260"/>
                      <wp:effectExtent l="0" t="0" r="0" b="0"/>
                      <wp:wrapNone/>
                      <wp:docPr id="234" name="Frame233"/>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3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center"/>
              <w:rPr/>
            </w:pPr>
            <w:r>
              <w:rPr/>
              <w:t>  ​ ​ ​</w:t>
            </w:r>
          </w:p>
        </w:tc>
        <w:tc>
          <w:tcPr>
            <w:tcW w:w="21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1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1"/>
              <w:ind w:left="0" w:right="0" w:hanging="0"/>
              <w:jc w:val="center"/>
              <w:rPr/>
            </w:pPr>
            <w:r>
              <w:rPr/>
              <w:t>​</w:t>
            </w:r>
          </w:p>
        </w:tc>
        <w:tc>
          <w:tcPr>
            <w:tcW w:w="9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96" w:type="dxa"/>
            <w:tcBorders/>
            <w:vAlign w:val="center"/>
          </w:tcPr>
          <w:p>
            <w:pPr>
              <w:pStyle w:val="TableContents"/>
              <w:bidi w:val="0"/>
              <w:spacing w:before="0" w:after="1"/>
              <w:ind w:left="0" w:right="0" w:hanging="0"/>
              <w:jc w:val="center"/>
              <w:rPr/>
            </w:pPr>
            <w:r>
              <w:rPr/>
              <w:t>  ​ ​ ​</w:t>
            </w:r>
          </w:p>
        </w:tc>
        <w:tc>
          <w:tcPr>
            <w:tcW w:w="9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7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3" w:type="dxa"/>
            <w:tcBorders/>
            <w:vAlign w:val="center"/>
          </w:tcPr>
          <w:p>
            <w:pPr>
              <w:pStyle w:val="TableContents"/>
              <w:bidi w:val="0"/>
              <w:spacing w:before="0" w:after="1"/>
              <w:ind w:left="0" w:right="0" w:hanging="0"/>
              <w:jc w:val="center"/>
              <w:rPr/>
            </w:pPr>
            <w:r>
              <w:rPr/>
              <w:t>  ​ ​ ​</w:t>
            </w:r>
          </w:p>
        </w:tc>
        <w:tc>
          <w:tcPr>
            <w:tcW w:w="9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operating expense</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496" w:type="dxa"/>
            <w:tcBorders/>
            <w:shd w:fill="CCEEFF" w:val="clear"/>
            <w:vAlign w:val="center"/>
          </w:tcPr>
          <w:p>
            <w:pPr>
              <w:pStyle w:val="TableContents"/>
              <w:bidi w:val="0"/>
              <w:spacing w:before="0" w:after="1"/>
              <w:ind w:left="0" w:right="0" w:hanging="0"/>
              <w:jc w:val="center"/>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w:t>
            </w:r>
          </w:p>
        </w:tc>
        <w:tc>
          <w:tcPr>
            <w:tcW w:w="346" w:type="dxa"/>
            <w:tcBorders/>
            <w:shd w:fill="CCEEFF" w:val="clear"/>
            <w:vAlign w:val="center"/>
          </w:tcPr>
          <w:p>
            <w:pPr>
              <w:pStyle w:val="TableContents"/>
              <w:bidi w:val="0"/>
              <w:spacing w:before="0" w:after="1"/>
              <w:ind w:left="0" w:right="0" w:hanging="0"/>
              <w:jc w:val="center"/>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w:t>
            </w:r>
          </w:p>
        </w:tc>
        <w:tc>
          <w:tcPr>
            <w:tcW w:w="433" w:type="dxa"/>
            <w:tcBorders/>
            <w:shd w:fill="CCEEFF" w:val="clear"/>
            <w:vAlign w:val="center"/>
          </w:tcPr>
          <w:p>
            <w:pPr>
              <w:pStyle w:val="TableContents"/>
              <w:bidi w:val="0"/>
              <w:spacing w:before="0" w:after="1"/>
              <w:ind w:left="0" w:right="0" w:hanging="0"/>
              <w:jc w:val="center"/>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lease expense</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49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5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433"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6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lease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49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433"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240</w:t>
            </w:r>
          </w:p>
        </w:tc>
        <w:tc>
          <w:tcPr>
            <w:tcW w:w="496" w:type="dxa"/>
            <w:tcBorders/>
            <w:vAlign w:val="center"/>
          </w:tcPr>
          <w:p>
            <w:pPr>
              <w:pStyle w:val="TableContents"/>
              <w:bidi w:val="0"/>
              <w:spacing w:before="0" w:after="1"/>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366</w:t>
            </w:r>
          </w:p>
        </w:tc>
        <w:tc>
          <w:tcPr>
            <w:tcW w:w="346" w:type="dxa"/>
            <w:tcBorders/>
            <w:vAlign w:val="center"/>
          </w:tcPr>
          <w:p>
            <w:pPr>
              <w:pStyle w:val="TableContents"/>
              <w:bidi w:val="0"/>
              <w:spacing w:before="0" w:after="1"/>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548</w:t>
            </w:r>
          </w:p>
        </w:tc>
        <w:tc>
          <w:tcPr>
            <w:tcW w:w="433" w:type="dxa"/>
            <w:tcBorders/>
            <w:vAlign w:val="center"/>
          </w:tcPr>
          <w:p>
            <w:pPr>
              <w:pStyle w:val="TableContents"/>
              <w:bidi w:val="0"/>
              <w:spacing w:before="0" w:after="1"/>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715</w:t>
            </w:r>
          </w:p>
        </w:tc>
      </w:tr>
    </w:tbl>
    <w:p>
      <w:pPr>
        <w:pStyle w:val="TextBody"/>
        <w:bidi w:val="0"/>
        <w:spacing w:before="0" w:after="240"/>
        <w:ind w:left="0" w:right="0" w:firstLine="360"/>
        <w:jc w:val="both"/>
        <w:rPr>
          <w:color w:val="231F20"/>
          <w:spacing w:val="-10"/>
        </w:rPr>
      </w:pPr>
      <w:r>
        <w:rPr>
          <w:color w:val="231F20"/>
          <w:spacing w:val="-1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color w:val="231F20"/>
          <w:spacing w:val="-10"/>
          <w:sz w:val="20"/>
        </w:rPr>
      </w:pPr>
      <w:bookmarkStart w:id="1115" w:name="Tc_CrCP6fA_L0S1xBtjOvsYaA_12_2"/>
      <w:bookmarkStart w:id="1116" w:name="Tc_iXS3MZ_pVUeCFQDGl35Pdw_12_0"/>
      <w:bookmarkStart w:id="1117" w:name="Tc_EAyDwnjIK0WcSojL064_pQ_11_0"/>
      <w:bookmarkStart w:id="1118" w:name="Tc_-UZ-dDFBtEWrGa4Hv_HUiA_10_2"/>
      <w:bookmarkStart w:id="1119" w:name="Tc_QXeu8eqiokW3jNE1i6yl0Q_10_0"/>
      <w:bookmarkStart w:id="1120" w:name="Tc__2z1ATE6I0G_x6x8N7Ct1Q_9_0"/>
      <w:bookmarkStart w:id="1121" w:name="Tc_yhJoj_9dQU-pHR_FGcpcMA_8_0"/>
      <w:bookmarkStart w:id="1122" w:name="Tc_siw7b8Pf_EKwDWMokQOsTg_7_0"/>
      <w:bookmarkStart w:id="1123" w:name="Tc_IiioyD7PREe6mZqhwi715g_6_0"/>
      <w:bookmarkStart w:id="1124" w:name="Tc_-TFmY5P6J0GAUvsbGDTGtw_5_0"/>
      <w:bookmarkStart w:id="1125" w:name="Tc_7038cKKLWkiadFM7zU9odA_4_2"/>
      <w:bookmarkStart w:id="1126" w:name="Tc_cGm3ggKEQkSv8oqwPdTv4A_4_0"/>
      <w:bookmarkStart w:id="1127" w:name="Tc_IobH-pjveUawtFdpqryyXg_3_2"/>
      <w:bookmarkStart w:id="1128" w:name="Tc_K5v0kjIot0GJiRvKJHbLNA_3_0"/>
      <w:bookmarkStart w:id="1129" w:name="Tc_NrP2jBqPo0GWiNb__7Q2IA_2_2"/>
      <w:bookmarkStart w:id="1130" w:name="Tc_gBYPoyUP_kuT0nXHF4sEqA_1_2"/>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r>
        <w:rPr>
          <w:rFonts w:ascii="Times New Roman;Times;serif" w:hAnsi="Times New Roman;Times;serif"/>
          <w:color w:val="231F20"/>
          <w:spacing w:val="-10"/>
          <w:sz w:val="20"/>
        </w:rPr>
        <w:t>Variable lease costs consist primarily of common area maintenance costs, insurance and taxes which are paid based upon actual costs incurred by the lessor. The table below shows the future minimum rental payments, exclusive of taxes, insurance, and other costs, under the leases as of June 30, 2026:</w:t>
      </w:r>
    </w:p>
    <w:p>
      <w:pPr>
        <w:pStyle w:val="TextBody"/>
        <w:bidi w:val="0"/>
        <w:spacing w:before="0" w:after="0"/>
        <w:ind w:left="0" w:right="0" w:hanging="0"/>
        <w:jc w:val="left"/>
        <w:rPr/>
      </w:pPr>
      <w:r>
        <w:rPr/>
        <w:t>​</w:t>
      </w:r>
    </w:p>
    <w:tbl>
      <w:tblPr>
        <w:tblW w:w="4697" w:type="dxa"/>
        <w:jc w:val="left"/>
        <w:tblInd w:w="0" w:type="dxa"/>
        <w:tblLayout w:type="fixed"/>
        <w:tblCellMar>
          <w:top w:w="0" w:type="dxa"/>
          <w:left w:w="0" w:type="dxa"/>
          <w:bottom w:w="0" w:type="dxa"/>
          <w:right w:w="0" w:type="dxa"/>
        </w:tblCellMar>
      </w:tblPr>
      <w:tblGrid>
        <w:gridCol w:w="3181"/>
        <w:gridCol w:w="346"/>
        <w:gridCol w:w="274"/>
        <w:gridCol w:w="896"/>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19935" cy="175260"/>
                      <wp:effectExtent l="0" t="0" r="0" b="0"/>
                      <wp:wrapNone/>
                      <wp:docPr id="235" name="Frame234"/>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73990" cy="175260"/>
                      <wp:effectExtent l="0" t="0" r="0" b="0"/>
                      <wp:wrapNone/>
                      <wp:docPr id="237" name="Frame236"/>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68960" cy="175260"/>
                      <wp:effectExtent l="0" t="0" r="0" b="0"/>
                      <wp:wrapNone/>
                      <wp:docPr id="238" name="Frame237"/>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r>
      <w:tr>
        <w:trPr/>
        <w:tc>
          <w:tcPr>
            <w:tcW w:w="3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r>
      <w:tr>
        <w:trPr/>
        <w:tc>
          <w:tcPr>
            <w:tcW w:w="3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w:t>
            </w:r>
          </w:p>
        </w:tc>
        <w:tc>
          <w:tcPr>
            <w:tcW w:w="346" w:type="dxa"/>
            <w:tcBorders/>
            <w:vAlign w:val="center"/>
          </w:tcPr>
          <w:p>
            <w:pPr>
              <w:pStyle w:val="TableContents"/>
              <w:bidi w:val="0"/>
              <w:spacing w:before="0" w:after="1"/>
              <w:ind w:left="0" w:right="0" w:hanging="0"/>
              <w:jc w:val="center"/>
              <w:rPr/>
            </w:pPr>
            <w:r>
              <w:rPr/>
              <w:t>​</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(remaining six months)</w:t>
            </w:r>
          </w:p>
        </w:tc>
        <w:tc>
          <w:tcPr>
            <w:tcW w:w="346" w:type="dxa"/>
            <w:tcBorders/>
            <w:shd w:fill="CCEEFF" w:val="clear"/>
            <w:vAlign w:val="center"/>
          </w:tcPr>
          <w:p>
            <w:pPr>
              <w:pStyle w:val="TableContents"/>
              <w:bidi w:val="0"/>
              <w:spacing w:before="0" w:after="1"/>
              <w:ind w:left="0" w:right="0" w:hanging="0"/>
              <w:jc w:val="center"/>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 </w:t>
            </w:r>
          </w:p>
        </w:tc>
        <w:tc>
          <w:tcPr>
            <w:tcW w:w="274"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829</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 </w:t>
            </w:r>
          </w:p>
        </w:tc>
        <w:tc>
          <w:tcPr>
            <w:tcW w:w="274"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 </w:t>
            </w:r>
          </w:p>
        </w:tc>
        <w:tc>
          <w:tcPr>
            <w:tcW w:w="274"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 </w:t>
            </w:r>
          </w:p>
        </w:tc>
        <w:tc>
          <w:tcPr>
            <w:tcW w:w="274"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future minimum lease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1,435</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Imputed interest</w:t>
            </w:r>
          </w:p>
        </w:tc>
        <w:tc>
          <w:tcPr>
            <w:tcW w:w="34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1,328</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pPr>
      <w:r>
        <w:rPr/>
        <w:t>   ​</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12. Related Party Transactions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In addition to transactions and balances related to cash and stock-based compensation to officers and directors, the Company had the following transactions and balances with related parties during the year ended December 31, 2025:</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As part of the Public Offering, on August 4, 2025, (i) entities associated with RTW Investments, LP (collectively, “RTW”), which beneficially owned approximately 21% of the Common Stock immediately prior to the Public Offering, purchased Pre-Funded Warrants exercisable for 3,636,363 shares of Common Stock and (ii) Perceptive Life Sciences Master Fund, Ltd, which beneficially owned approximately 12% of the Common Stock immediately prior to the Public Offering, purchased Pre-Funded Warrants exercisable for 1,500,000 shares of Common Stock. During the six months ended June 30, 2026, RTW exercised 1,250,032 Pre-Funded Warrants on a cashless basis and received 1,250,000 shares of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In addition, transactions between the Company and Medtronic are disclosed in both Note 3 – “</w:t>
      </w:r>
      <w:r>
        <w:rPr>
          <w:rFonts w:ascii="Times New Roman;Times;serif" w:hAnsi="Times New Roman;Times;serif"/>
          <w:i/>
          <w:color w:val="231F20"/>
          <w:spacing w:val="-10"/>
          <w:sz w:val="20"/>
        </w:rPr>
        <w:t>Medtronic Agreement”</w:t>
      </w:r>
      <w:r>
        <w:rPr>
          <w:rFonts w:ascii="Times New Roman;Times;serif" w:hAnsi="Times New Roman;Times;serif"/>
          <w:color w:val="231F20"/>
          <w:spacing w:val="-10"/>
          <w:sz w:val="20"/>
        </w:rPr>
        <w:t xml:space="preserve"> and Note 14 – “</w:t>
      </w:r>
      <w:r>
        <w:rPr>
          <w:rFonts w:ascii="Times New Roman;Times;serif" w:hAnsi="Times New Roman;Times;serif"/>
          <w:i/>
          <w:color w:val="231F20"/>
          <w:spacing w:val="-10"/>
          <w:sz w:val="20"/>
        </w:rPr>
        <w:t>Debt Financing.”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w:t>
      </w:r>
      <w:r>
        <w:rPr>
          <w:rFonts w:ascii="Times New Roman;Times;serif" w:hAnsi="Times New Roman;Times;serif"/>
          <w:color w:val="231F20"/>
          <w:spacing w:val="-10"/>
          <w:sz w:val="20"/>
        </w:rPr>
        <w:t>he Company had no other transactions or balances with current related parties during the six months ended June 30, 2026</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13. Royalty Purchase Agreement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On July 31, 2025, the Company entered into a revenue participation right purchase and sale agreement (the “Royalty Purchase Agreement”) with Ligand</w:t>
      </w:r>
      <w:r>
        <w:rPr>
          <w:rFonts w:ascii="Times New Roman;Times;serif" w:hAnsi="Times New Roman;Times;serif"/>
          <w:sz w:val="20"/>
        </w:rPr>
        <w:t xml:space="preserve"> </w:t>
      </w:r>
      <w:r>
        <w:rPr>
          <w:rFonts w:ascii="Times New Roman;Times;serif" w:hAnsi="Times New Roman;Times;serif"/>
          <w:color w:val="231F20"/>
          <w:spacing w:val="-10"/>
          <w:sz w:val="20"/>
        </w:rPr>
        <w:t>Pharmaceuticals Incorporated (“Ligand”). Under the terms of the Royalty Purchase Agreement, in exchange for payment of $35.0 million (the “Investment Amount”), less certain reimbursable expenses, Ligand acquired the right to receive tiered royalty payments from the Company (the “Royalty Interest”) with respect to revenue (including certain licensing revenue) received by the Company in a calendar year in connection with worldwide net product sales, or other product revenue received, by the Company and its licensees (“Annual Net Sales”) of (a) AVIM Therapy (the “Primary Product”) and (b) Virtue SAB (the “Secondary Product” and together with the Primary Product, the “Products”) in the field of coronary artery treatment.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Pursuant to the Royalty Purchase Agreement, the Investment Amount was received in two tranches: (i) $20.0 million was received on August 4, 2025 and (ii) $15.0 million was received on May 1, 2026 (the “Second Installment”). In repayment of the Investment Amount, the Company will remit 17.0% of revenues related to the Products until an annual total of $17.0 million has been remitted to Ligand, thereafter the Company will remit (a) 4.0% of revenues related to the Primary Product in the field of HTN treatment and (b) 4.0% of revenues related to the Secondary Product in the field of coronary artery treatment. Under the terms of the Royalty Purchase Agreement, the percentages will incrementally increase from 17.0% and 4.0% up to 20.0% and 7.0%, respectively, if the Company does not achieve certain enrollment milestones relating to the BACKBEAT clinical study through January 1, 2027.</w:t>
      </w:r>
    </w:p>
    <w:p>
      <w:pPr>
        <w:pStyle w:val="TextBody"/>
        <w:bidi w:val="0"/>
        <w:spacing w:before="0" w:after="0"/>
        <w:ind w:left="0" w:right="0" w:firstLine="360"/>
        <w:jc w:val="both"/>
        <w:rPr>
          <w:color w:val="231F20"/>
          <w:spacing w:val="-10"/>
        </w:rPr>
      </w:pPr>
      <w:r>
        <w:rPr>
          <w:color w:val="231F20"/>
          <w:spacing w:val="-10"/>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The Royalty Interest in respect of Annual Net Sales of the Products will end on the date in which no Product is being developed or commercialized by or on behalf of the Company, any of its affiliates, or any of its or their licensees or distributors and Ligand has received the last Royalty Interest payment payable under the terms of the Royalty Purchase Agreement. The obligations arising under the Royalty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color w:val="231F20"/>
          <w:spacing w:val="-10"/>
          <w:sz w:val="20"/>
        </w:rPr>
      </w:pPr>
      <w:bookmarkStart w:id="1131" w:name="Tc_4X8jQQKsF0q6iNfdiR1LWg_6_1"/>
      <w:bookmarkStart w:id="1132" w:name="Tc_krvcv2uT302Ebnb-6Bw_6Q_6_0"/>
      <w:bookmarkStart w:id="1133" w:name="Tc_bseq0wRkpkecB9cI7Vr9_A_5_0"/>
      <w:bookmarkStart w:id="1134" w:name="Tc_LoLa0WG04EuCCf8X2PkLzA_4_0"/>
      <w:bookmarkStart w:id="1135" w:name="Tc_v1eJoeQnDUSv-YB1U19V5w_3_1"/>
      <w:bookmarkStart w:id="1136" w:name="Tc_71aV2tJvJ0WTdtviOXbwbQ_3_0"/>
      <w:bookmarkStart w:id="1137" w:name="Tc_333hnOdlBEe7pUDvWBH3Jw_2_1"/>
      <w:bookmarkStart w:id="1138" w:name="Tc_ChU6ZGMzMkSK7CbDm6v6qg_1_1"/>
      <w:bookmarkStart w:id="1139" w:name="_e24e46f6_a87c_4715_aed9_568892d92414"/>
      <w:bookmarkEnd w:id="1131"/>
      <w:bookmarkEnd w:id="1132"/>
      <w:bookmarkEnd w:id="1133"/>
      <w:bookmarkEnd w:id="1134"/>
      <w:bookmarkEnd w:id="1135"/>
      <w:bookmarkEnd w:id="1136"/>
      <w:bookmarkEnd w:id="1137"/>
      <w:bookmarkEnd w:id="1138"/>
      <w:bookmarkEnd w:id="1139"/>
      <w:r>
        <w:rPr>
          <w:rFonts w:ascii="Times New Roman;Times;serif" w:hAnsi="Times New Roman;Times;serif"/>
          <w:color w:val="231F20"/>
          <w:spacing w:val="-10"/>
          <w:sz w:val="20"/>
        </w:rPr>
        <w:t>Purchase Agreement are secured by security interests in, and pledges over, the Royalty Interest, the Revenue Participation Right (as defined in the Royalty Purchase Agreement) and the Company’s interests in the Products and associated intellectual property rights, subject to certain agreed security principles, permitted liens and other customary exceptions and qualifications, and the security interests in the Products and associated intellectual property rights of the Company are subordinate in right of payment to the prior payment in full of the outstanding indebtedness under the 2024 LSA (as defined below). The Royalty Purchase Agreement contains customary representations, warranties and indemnities of the Company and Ligand, and customary covenants on the part of the Company. </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In connection with the sale of the Royalty Interest, and pursuant to the terms of the Royalty Purchase Agreement, on August 4, 2025, the Company issued to Ligand a warrant (the “Ligand Warrant”) to purchase up to 2,000,000 shares of the Common Stock (the “Ligand Warrant Shares”), at an exercise price equal to $3.67 per share. The exercise price of the Ligand Warrant and the number of Ligand Warrant Shares issuable upon exercise of the Ligand Warrant are subject to adjustments for stock splits, combinations, stock dividends or similar events. Pursuant to the terms of the Ligand Warrant, the Ligand Warrant Shares vested and became exercisable as follows: (i) 1,142,857 of the Ligand Warrant Shares (the “First Tranche”) vested upon issuance; and (ii) 857,143 of the Ligand Warrant Shares vested on the date of payment of the Second Installment. The Ligand Warrant is exercisable for ten years from the date of issuance.</w:t>
      </w:r>
    </w:p>
    <w:p>
      <w:pPr>
        <w:pStyle w:val="TextBody"/>
        <w:bidi w:val="0"/>
        <w:spacing w:before="0" w:after="0"/>
        <w:ind w:left="0" w:right="0" w:firstLine="360"/>
        <w:jc w:val="both"/>
        <w:rPr>
          <w:color w:val="231F20"/>
          <w:spacing w:val="-10"/>
        </w:rPr>
      </w:pPr>
      <w:r>
        <w:rPr>
          <w:color w:val="231F20"/>
          <w:spacing w:val="-10"/>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color w:val="231F20"/>
          <w:spacing w:val="-10"/>
          <w:sz w:val="20"/>
        </w:rPr>
        <w:t xml:space="preserve">The Company accounted for its sale of royalty revenues to Ligand, pursuant to the Royalty Purchase Agreement, in accordance with ASC 470, </w:t>
      </w:r>
      <w:r>
        <w:rPr>
          <w:rFonts w:ascii="Times New Roman;Times;serif" w:hAnsi="Times New Roman;Times;serif"/>
          <w:i/>
          <w:color w:val="231F20"/>
          <w:spacing w:val="-10"/>
          <w:sz w:val="20"/>
        </w:rPr>
        <w:t>Debt</w:t>
      </w:r>
      <w:r>
        <w:rPr>
          <w:rFonts w:ascii="Times New Roman;Times;serif" w:hAnsi="Times New Roman;Times;serif"/>
          <w:color w:val="231F20"/>
          <w:spacing w:val="-10"/>
          <w:sz w:val="20"/>
        </w:rPr>
        <w:t xml:space="preserve">, which addresses situations in which an entity receives cash from an investor in return for an agreement to pay the investor a specified percentage of the revenue from a contractual right. The Company classified the proceeds received from the sale to Ligand as debt as the Company determined that it had significant continuing involvement in the generation of the cash flows to Ligand. Interest related to the Royalty Purchase Agreement will be recognized utilizing the effective interest method over the estimated term. </w:t>
      </w:r>
    </w:p>
    <w:p>
      <w:pPr>
        <w:pStyle w:val="TextBody"/>
        <w:bidi w:val="0"/>
        <w:spacing w:before="0" w:after="0"/>
        <w:ind w:left="0" w:right="0" w:firstLine="360"/>
        <w:jc w:val="both"/>
        <w:rPr>
          <w:color w:val="231F20"/>
          <w:spacing w:val="-10"/>
        </w:rPr>
      </w:pPr>
      <w:r>
        <w:rPr>
          <w:color w:val="231F20"/>
          <w:spacing w:val="-10"/>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Company’s estimate of interest expense associated with the Royalty Interest resulted in an effective annual interest rate of approximately 21.2% as of June 30, 2026 and 23.1% as of December 31, 2025. This estimate contains significant assumptions that impact the interest expense that will be recognized over the royalty period. The Company will periodically assess the estimated amounts due and payable to Ligand and to the extent the amount or timing of such payments is materially different than the original estimates, an adjustment will be recorded prospectively to the condensed consolidated statements of operations and comprehensive loss. There are a number of factors that could materially affect the amount and timing of the royalty payments to be paid by the Company to Ligand and, correspondingly, the amount of interest expense recorded by the Company.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following table shows the activity of the Royalty Purchase Agreement for the six months ended June 30, 2026 (in thousands):</w:t>
      </w:r>
    </w:p>
    <w:tbl>
      <w:tblPr>
        <w:tblW w:w="4843" w:type="dxa"/>
        <w:jc w:val="left"/>
        <w:tblInd w:w="0" w:type="dxa"/>
        <w:tblLayout w:type="fixed"/>
        <w:tblCellMar>
          <w:top w:w="0" w:type="dxa"/>
          <w:left w:w="0" w:type="dxa"/>
          <w:bottom w:w="0" w:type="dxa"/>
          <w:right w:w="0" w:type="dxa"/>
        </w:tblCellMar>
      </w:tblPr>
      <w:tblGrid>
        <w:gridCol w:w="3841"/>
        <w:gridCol w:w="211"/>
        <w:gridCol w:w="791"/>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439035" cy="175260"/>
                      <wp:effectExtent l="0" t="0" r="0" b="0"/>
                      <wp:wrapNone/>
                      <wp:docPr id="239" name="Frame238"/>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02285" cy="175260"/>
                      <wp:effectExtent l="0" t="0" r="0" b="0"/>
                      <wp:wrapNone/>
                      <wp:docPr id="241" name="Frame24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before="0" w:after="0"/>
              <w:ind w:left="0" w:right="0" w:hanging="0"/>
              <w:jc w:val="center"/>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841" w:type="dxa"/>
            <w:tcBorders/>
            <w:vAlign w:val="center"/>
          </w:tcPr>
          <w:p>
            <w:pPr>
              <w:pStyle w:val="TableContents"/>
              <w:bidi w:val="0"/>
              <w:spacing w:before="0" w:after="0"/>
              <w:ind w:left="0" w:right="0" w:hanging="0"/>
              <w:jc w:val="center"/>
              <w:rPr/>
            </w:pPr>
            <w:r>
              <w:rPr/>
              <w:t>​</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Beginning balance, January 1, 2026</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16,482</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the royalty purchase agreement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interest expense on liability</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3,111</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Ending balance, June 30, 2026</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34,593</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140" w:name="Tc_cNNQDIBBiE2dwd0C7le0IA_6_1"/>
      <w:bookmarkStart w:id="1141" w:name="Tc_ucIb7KVfWEiBw2Np7j2xQA_6_0"/>
      <w:bookmarkStart w:id="1142" w:name="Tc_wo1aL6Zla06wbVbzWjeHbw_5_0"/>
      <w:bookmarkStart w:id="1143" w:name="Tc_EmQU1xijlkqFlT2rAPcdCg_4_0"/>
      <w:bookmarkStart w:id="1144" w:name="Tc_Af4v41NXM06PF-hifhVVSA_3_2"/>
      <w:bookmarkStart w:id="1145" w:name="Tc_LbdZWTdb7Ua0CM9rx2jOnA_3_1"/>
      <w:bookmarkStart w:id="1146" w:name="Tc_QPJofW2B6U-Edc0QYGJmSw_3_0"/>
      <w:bookmarkStart w:id="1147" w:name="Tc_Jihnz2ZluEaZJlfuV1YJ4w_2_1"/>
      <w:bookmarkStart w:id="1148" w:name="Tc_XYSFVP9xeU2hT-KiGmNAuA_1_1"/>
      <w:bookmarkStart w:id="1149" w:name="_65c0a9a8_f967_466f_aed8_022fb40ebdf7"/>
      <w:bookmarkEnd w:id="1140"/>
      <w:bookmarkEnd w:id="1141"/>
      <w:bookmarkEnd w:id="1142"/>
      <w:bookmarkEnd w:id="1143"/>
      <w:bookmarkEnd w:id="1144"/>
      <w:bookmarkEnd w:id="1145"/>
      <w:bookmarkEnd w:id="1146"/>
      <w:bookmarkEnd w:id="1147"/>
      <w:bookmarkEnd w:id="1148"/>
      <w:bookmarkEnd w:id="1149"/>
      <w:r>
        <w:rPr>
          <w:rFonts w:ascii="Times New Roman;Times;serif" w:hAnsi="Times New Roman;Times;serif"/>
          <w:b/>
          <w:sz w:val="20"/>
        </w:rPr>
        <w:t>14. Debt Financing</w:t>
      </w:r>
    </w:p>
    <w:p>
      <w:pPr>
        <w:pStyle w:val="TextBody"/>
        <w:bidi w:val="0"/>
        <w:spacing w:before="0" w:after="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2025 Medtronic Loan Agreement</w:t>
      </w:r>
    </w:p>
    <w:p>
      <w:pPr>
        <w:pStyle w:val="TextBody"/>
        <w:bidi w:val="0"/>
        <w:spacing w:before="0" w:after="0"/>
        <w:ind w:left="0" w:right="0" w:hanging="0"/>
        <w:jc w:val="both"/>
        <w:rPr>
          <w:color w:val="231F20"/>
          <w:spacing w:val="-10"/>
        </w:rPr>
      </w:pPr>
      <w:r>
        <w:rPr>
          <w:color w:val="231F20"/>
          <w:spacing w:val="-10"/>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On July 31, 2025, the Company and its wholly-owned subsidiaries, Orchestra BioMed, Inc. and BackBeat, entered into a Loan Agreement with Medtronic (the “Medtronic Loan Agreement”), pursuant to which Medtronic agreed to extend a convertible loan to the Company in the aggregate original principal amount of $20.0 million (the “Medtronic Loan”). The Medtronic Loan is evidenced by a secured subordinated convertible promissory note (the “Medtronic Note”) issued by the Company. The issuance of the Medtronic Note to Medtronic and the funding of the Medtronic Loan occurred on May 1, 2026 pursuant to the conditions described in the Medtronic Loan Agreement.</w:t>
      </w:r>
    </w:p>
    <w:p>
      <w:pPr>
        <w:pStyle w:val="TextBody"/>
        <w:bidi w:val="0"/>
        <w:spacing w:before="0" w:after="0"/>
        <w:ind w:left="0" w:right="0" w:hanging="0"/>
        <w:jc w:val="both"/>
        <w:rPr>
          <w:color w:val="231F20"/>
          <w:spacing w:val="-10"/>
        </w:rPr>
      </w:pPr>
      <w:r>
        <w:rPr>
          <w:color w:val="231F20"/>
          <w:spacing w:val="-10"/>
        </w:rPr>
        <w:t> </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Medtronic Note accrues simple interest at a rate of 11% per annum provided that no interest payments will be paid or due until the April 27, 2031 (the “Maturity Date”). The Medtronic Note does not allow for prepayment without the prior consent of Medtronic. Unless earlier converted, or redeemed, the Medtronic Note will mature on the Maturity Date. In addition, the payment or other satisfaction of the obligations set forth in the Medtronic Loan Agreement are subordinate in right of payment to the prior payment in full of the senior obligations. The obligations arising under the Medtronic Loan Agreement and the Medtronic Note are secured by security interests in, and pledges over, the Company’s assets, subject to certain agreed security principles, permitted liens and other customary exceptions and qualifications.</w:t>
      </w:r>
    </w:p>
    <w:p>
      <w:pPr>
        <w:pStyle w:val="TextBody"/>
        <w:bidi w:val="0"/>
        <w:spacing w:before="0" w:after="0"/>
        <w:ind w:left="0" w:right="0" w:hanging="0"/>
        <w:jc w:val="both"/>
        <w:rPr>
          <w:color w:val="231F20"/>
          <w:spacing w:val="-10"/>
        </w:rPr>
      </w:pPr>
      <w:r>
        <w:rPr>
          <w:color w:val="231F20"/>
          <w:spacing w:val="-10"/>
        </w:rPr>
        <w:t> </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principal balance of the Medtronic Note, together with all accrued and unpaid interest thereon (collectively, the “Balance”) will automatically convert into a revenue share (the “Revenue Share Credit”), if FDA approval of a Medtronic device incorporating AVIM Therapy is achieved prior to the Maturity Date. Upon conversion of the then outstanding Balance the Company shall pay to Medtronic the Revenue Share Credit, which shall equal 15% of the revenue share amounts that the Company receives under the Amended Medtronic Agreement, until such time as the total Revenue Share Credit payments equal $40.0 million.</w:t>
      </w:r>
    </w:p>
    <w:p>
      <w:pPr>
        <w:pStyle w:val="TextBody"/>
        <w:bidi w:val="0"/>
        <w:spacing w:before="0" w:after="0"/>
        <w:ind w:left="0" w:right="0" w:hanging="0"/>
        <w:jc w:val="both"/>
        <w:rPr>
          <w:color w:val="231F20"/>
          <w:spacing w:val="-10"/>
        </w:rPr>
      </w:pPr>
      <w:r>
        <w:rPr>
          <w:color w:val="231F20"/>
          <w:spacing w:val="-10"/>
        </w:rPr>
        <w:t> </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Medtronic Loan Agreement contains customary representations, warranties and affirmative and negative covenants. In addition, the Medtronic Loan Agreement contains customary events of default that entitle Medtronic to cause the Company’s indebtedness under the Note to become immediately due and payable, and to exercise remedies against the Company and the collateral securing the Loan. Upon the occurrence and for the duration of an event of default, an additional default interest rate equal to 2.0% per annum may apply to all obligations owed under the Loan Agreement.</w:t>
      </w:r>
    </w:p>
    <w:p>
      <w:pPr>
        <w:pStyle w:val="TextBody"/>
        <w:bidi w:val="0"/>
        <w:spacing w:before="0" w:after="0"/>
        <w:ind w:left="0" w:right="0" w:firstLine="360"/>
        <w:jc w:val="both"/>
        <w:rPr>
          <w:color w:val="231F20"/>
          <w:spacing w:val="-10"/>
        </w:rPr>
      </w:pPr>
      <w:r>
        <w:rPr>
          <w:color w:val="231F20"/>
          <w:spacing w:val="-10"/>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Company recognizes interest expense using the effective interest method over the estimated term of the arrangement. The effective interest rate is based on the Company’s estimate of the timing and amount of future payments expected to be made under the arrangement. The total interest expense associated with the Medtronic Note resulted in an effective interest rate of 13.2% as of June 30, 2026. The Company will periodically assess the estimated amounts due and payable to Medtronic and to the extent the amount or timing of such payments is materially different than the original estimates, an adjustment will be recorded prospectively to the condensed consolidated statements of operations and comprehensive loss.</w:t>
      </w:r>
    </w:p>
    <w:p>
      <w:pPr>
        <w:pStyle w:val="TextBody"/>
        <w:bidi w:val="0"/>
        <w:spacing w:before="0" w:after="0"/>
        <w:ind w:left="0" w:right="0" w:firstLine="360"/>
        <w:jc w:val="both"/>
        <w:rPr>
          <w:color w:val="231F20"/>
          <w:spacing w:val="-10"/>
        </w:rPr>
      </w:pPr>
      <w:r>
        <w:rPr>
          <w:color w:val="231F20"/>
          <w:spacing w:val="-10"/>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obligations under the Medtronic Loan as of June 30, 2026 consisted of the following (in thousands):</w:t>
      </w:r>
    </w:p>
    <w:tbl>
      <w:tblPr>
        <w:tblW w:w="4168" w:type="dxa"/>
        <w:jc w:val="left"/>
        <w:tblInd w:w="0" w:type="dxa"/>
        <w:tblLayout w:type="fixed"/>
        <w:tblCellMar>
          <w:top w:w="0" w:type="dxa"/>
          <w:left w:w="0" w:type="dxa"/>
          <w:bottom w:w="0" w:type="dxa"/>
          <w:right w:w="0" w:type="dxa"/>
        </w:tblCellMar>
      </w:tblPr>
      <w:tblGrid>
        <w:gridCol w:w="3166"/>
        <w:gridCol w:w="211"/>
        <w:gridCol w:w="791"/>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10410" cy="175260"/>
                      <wp:effectExtent l="0" t="0" r="0" b="0"/>
                      <wp:wrapNone/>
                      <wp:docPr id="242" name="Frame241"/>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02285" cy="175260"/>
                      <wp:effectExtent l="0" t="0" r="0" b="0"/>
                      <wp:wrapNone/>
                      <wp:docPr id="244" name="Frame243"/>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center"/>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166" w:type="dxa"/>
            <w:tcBorders/>
            <w:vAlign w:val="center"/>
          </w:tcPr>
          <w:p>
            <w:pPr>
              <w:pStyle w:val="TableContents"/>
              <w:bidi w:val="0"/>
              <w:spacing w:before="0" w:after="0"/>
              <w:ind w:left="0" w:right="0" w:hanging="0"/>
              <w:jc w:val="center"/>
              <w:rPr/>
            </w:pPr>
            <w:r>
              <w:rPr/>
              <w:t>​</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Beginning balance, January 1, 2026</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note payable</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expense on liability</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Ending balance, June 30, 2026</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20,442</w:t>
            </w:r>
          </w:p>
        </w:tc>
      </w:tr>
    </w:tbl>
    <w:p>
      <w:pPr>
        <w:pStyle w:val="TextBody"/>
        <w:bidi w:val="0"/>
        <w:spacing w:before="0" w:after="0"/>
        <w:ind w:left="0" w:right="0" w:firstLine="360"/>
        <w:jc w:val="both"/>
        <w:rPr>
          <w:color w:val="231F20"/>
          <w:spacing w:val="-10"/>
        </w:rPr>
      </w:pPr>
      <w:r>
        <w:rPr>
          <w:color w:val="231F20"/>
          <w:spacing w:val="-10"/>
        </w:rPr>
        <w:t>​</w:t>
      </w:r>
    </w:p>
    <w:p>
      <w:pPr>
        <w:pStyle w:val="TextBody"/>
        <w:bidi w:val="0"/>
        <w:spacing w:before="0" w:after="0"/>
        <w:ind w:left="0" w:right="0" w:firstLine="360"/>
        <w:jc w:val="both"/>
        <w:rPr>
          <w:color w:val="231F20"/>
          <w:spacing w:val="-10"/>
        </w:rPr>
      </w:pPr>
      <w:r>
        <w:rPr>
          <w:color w:val="231F20"/>
          <w:spacing w:val="-1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color w:val="231F20"/>
          <w:spacing w:val="-10"/>
        </w:rPr>
      </w:pPr>
      <w:bookmarkStart w:id="1150" w:name="Tc_1sBlsSDxPUeyqELM7z4TIw_10_2"/>
      <w:bookmarkStart w:id="1151" w:name="Tc_cAFisJ05PEaSTX9l08I7ZA_10_0"/>
      <w:bookmarkStart w:id="1152" w:name="Tc_YZP0lCG8RkSOOTQ-l-gCMA_9_0"/>
      <w:bookmarkStart w:id="1153" w:name="Tc_sfKbw7khp0Op2_S3oYJuJQ_8_0"/>
      <w:bookmarkStart w:id="1154" w:name="Tc_9uddhbXQ0Uq8wZTFFJFeMg_7_0"/>
      <w:bookmarkStart w:id="1155" w:name="Tc_T_CKu6jXlUudIe8elnp55w_6_0"/>
      <w:bookmarkStart w:id="1156" w:name="Tc_TxVt-WhBYUun2JMoQIEaSg_5_0"/>
      <w:bookmarkStart w:id="1157" w:name="Tc_MaeJkXKqcEuyM5mvnXboeA_4_2"/>
      <w:bookmarkStart w:id="1158" w:name="Tc_Q7wn0TNPREq1zZ_TsV8HAA_4_0"/>
      <w:bookmarkStart w:id="1159" w:name="Tc_lXdkcgOtGU2Bbtx1vI47zQ_3_2"/>
      <w:bookmarkStart w:id="1160" w:name="Tc_KS1Pu3u4kEeweWECat9-yw_3_0"/>
      <w:bookmarkStart w:id="1161" w:name="Tc_lj3jI-xGEU2AxdNBZpvojQ_2_2"/>
      <w:bookmarkStart w:id="1162" w:name="Tc_33CCBCbOgECKgCC9hJMx0g_1_2"/>
      <w:bookmarkEnd w:id="1150"/>
      <w:bookmarkEnd w:id="1151"/>
      <w:bookmarkEnd w:id="1152"/>
      <w:bookmarkEnd w:id="1153"/>
      <w:bookmarkEnd w:id="1154"/>
      <w:bookmarkEnd w:id="1155"/>
      <w:bookmarkEnd w:id="1156"/>
      <w:bookmarkEnd w:id="1157"/>
      <w:bookmarkEnd w:id="1158"/>
      <w:bookmarkEnd w:id="1159"/>
      <w:bookmarkEnd w:id="1160"/>
      <w:bookmarkEnd w:id="1161"/>
      <w:bookmarkEnd w:id="1162"/>
      <w:r>
        <w:rPr>
          <w:color w:val="231F20"/>
          <w:spacing w:val="-10"/>
        </w:rPr>
        <w:t> </w:t>
      </w:r>
      <w:r>
        <w:rPr>
          <w:rFonts w:ascii="Times New Roman;Times;serif" w:hAnsi="Times New Roman;Times;serif"/>
          <w:color w:val="231F20"/>
          <w:spacing w:val="-10"/>
          <w:sz w:val="20"/>
        </w:rPr>
        <w:t>The following table shows the amount of principal payments due pursuant to the Medtronic Loan by year:</w:t>
      </w:r>
    </w:p>
    <w:p>
      <w:pPr>
        <w:pStyle w:val="TextBody"/>
        <w:bidi w:val="0"/>
        <w:spacing w:before="0" w:after="0"/>
        <w:ind w:left="0" w:right="0" w:hanging="0"/>
        <w:jc w:val="left"/>
        <w:rPr/>
      </w:pPr>
      <w:r>
        <w:rPr/>
        <w:t>​</w:t>
      </w:r>
    </w:p>
    <w:tbl>
      <w:tblPr>
        <w:tblW w:w="3977" w:type="dxa"/>
        <w:jc w:val="left"/>
        <w:tblInd w:w="0" w:type="dxa"/>
        <w:tblLayout w:type="fixed"/>
        <w:tblCellMar>
          <w:top w:w="0" w:type="dxa"/>
          <w:left w:w="0" w:type="dxa"/>
          <w:bottom w:w="0" w:type="dxa"/>
          <w:right w:w="0" w:type="dxa"/>
        </w:tblCellMar>
      </w:tblPr>
      <w:tblGrid>
        <w:gridCol w:w="2461"/>
        <w:gridCol w:w="346"/>
        <w:gridCol w:w="245"/>
        <w:gridCol w:w="925"/>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562735" cy="175260"/>
                      <wp:effectExtent l="0" t="0" r="0" b="0"/>
                      <wp:wrapNone/>
                      <wp:docPr id="245" name="Frame244"/>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55575" cy="175260"/>
                      <wp:effectExtent l="0" t="0" r="0" b="0"/>
                      <wp:wrapNone/>
                      <wp:docPr id="247" name="Frame246"/>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87375" cy="175260"/>
                      <wp:effectExtent l="0" t="0" r="0" b="0"/>
                      <wp:wrapNone/>
                      <wp:docPr id="248" name="Frame247"/>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w:t>
            </w:r>
          </w:p>
        </w:tc>
      </w:tr>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Payments</w:t>
            </w:r>
          </w:p>
        </w:tc>
      </w:tr>
      <w:tr>
        <w:trPr/>
        <w:tc>
          <w:tcPr>
            <w:tcW w:w="24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ending December 31:</w:t>
            </w:r>
          </w:p>
        </w:tc>
        <w:tc>
          <w:tcPr>
            <w:tcW w:w="346" w:type="dxa"/>
            <w:tcBorders/>
            <w:vAlign w:val="center"/>
          </w:tcPr>
          <w:p>
            <w:pPr>
              <w:pStyle w:val="TableContents"/>
              <w:bidi w:val="0"/>
              <w:spacing w:before="0" w:after="0"/>
              <w:ind w:left="0" w:right="0" w:hanging="0"/>
              <w:jc w:val="center"/>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 six months)</w:t>
            </w:r>
          </w:p>
        </w:tc>
        <w:tc>
          <w:tcPr>
            <w:tcW w:w="346" w:type="dxa"/>
            <w:tcBorders/>
            <w:shd w:fill="CCEEFF" w:val="clear"/>
            <w:vAlign w:val="center"/>
          </w:tcPr>
          <w:p>
            <w:pPr>
              <w:pStyle w:val="TableContents"/>
              <w:bidi w:val="0"/>
              <w:spacing w:before="0" w:after="0"/>
              <w:ind w:left="0" w:right="0" w:hanging="0"/>
              <w:jc w:val="center"/>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0"/>
              <w:ind w:left="0" w:right="0" w:hanging="0"/>
              <w:jc w:val="right"/>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righ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 </w:t>
            </w:r>
          </w:p>
        </w:tc>
        <w:tc>
          <w:tcPr>
            <w:tcW w:w="245" w:type="dxa"/>
            <w:tcBorders/>
            <w:shd w:fill="CCEEFF" w:val="clear"/>
            <w:vAlign w:val="center"/>
          </w:tcPr>
          <w:p>
            <w:pPr>
              <w:pStyle w:val="TableContents"/>
              <w:bidi w:val="0"/>
              <w:spacing w:before="0" w:after="0"/>
              <w:ind w:left="0" w:right="0" w:hanging="0"/>
              <w:jc w:val="right"/>
              <w:rPr/>
            </w:pPr>
            <w:r>
              <w:rPr/>
              <w:t>​</w:t>
            </w:r>
          </w:p>
        </w:tc>
        <w:tc>
          <w:tcPr>
            <w:tcW w:w="925" w:type="dxa"/>
            <w:tcBorders/>
            <w:shd w:fill="CCEEFF" w:val="clear"/>
            <w:vAlign w:val="center"/>
          </w:tcPr>
          <w:p>
            <w:pPr>
              <w:pStyle w:val="TableContents"/>
              <w:bidi w:val="0"/>
              <w:spacing w:before="0" w:after="0"/>
              <w:ind w:left="0" w:right="0" w:hanging="0"/>
              <w:jc w:val="right"/>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righ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right"/>
              <w:rPr/>
            </w:pPr>
            <w:r>
              <w:rPr/>
              <w:t>​</w:t>
            </w:r>
          </w:p>
        </w:tc>
        <w:tc>
          <w:tcPr>
            <w:tcW w:w="925" w:type="dxa"/>
            <w:tcBorders/>
            <w:shd w:fill="CCEEFF" w:val="clear"/>
            <w:vAlign w:val="center"/>
          </w:tcPr>
          <w:p>
            <w:pPr>
              <w:pStyle w:val="TableContents"/>
              <w:bidi w:val="0"/>
              <w:spacing w:before="0" w:after="0"/>
              <w:ind w:left="0" w:right="0" w:hanging="0"/>
              <w:jc w:val="right"/>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25"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20,000</w:t>
            </w:r>
          </w:p>
        </w:tc>
      </w:tr>
    </w:tbl>
    <w:p>
      <w:pPr>
        <w:pStyle w:val="TextBody"/>
        <w:bidi w:val="0"/>
        <w:spacing w:before="0" w:after="0"/>
        <w:ind w:left="0" w:right="0" w:hanging="0"/>
        <w:jc w:val="both"/>
        <w:rPr>
          <w:color w:val="231F20"/>
          <w:spacing w:val="-10"/>
        </w:rPr>
      </w:pPr>
      <w:r>
        <w:rPr>
          <w:color w:val="231F20"/>
          <w:spacing w:val="-10"/>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Total interest expense recorded on this facility during the three and six months ended June 30, 2026 was approximately $442,000. No interest expense was recorded on this facility during the three and six months ended June 30, 2025.</w:t>
      </w:r>
    </w:p>
    <w:p>
      <w:pPr>
        <w:pStyle w:val="TextBody"/>
        <w:bidi w:val="0"/>
        <w:spacing w:before="0" w:after="0"/>
        <w:ind w:left="0" w:right="0" w:hanging="0"/>
        <w:jc w:val="both"/>
        <w:rPr>
          <w:color w:val="231F20"/>
          <w:spacing w:val="-10"/>
        </w:rPr>
      </w:pPr>
      <w:r>
        <w:rPr>
          <w:color w:val="231F20"/>
          <w:spacing w:val="-10"/>
        </w:rPr>
        <w:t>​</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2024 Loan and Security Agreement</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On November 6, 2024 (the “LSA Closing Date”), the Company and certain of its subsidiaries (together with the Company, the “Borrower”) entered into a Loan and Security Agreement, by and among the Borrower, the several banks and other financial institutions or entities party thereto, as lenders (collectively, the “Hercules Lenders”), and Hercules Capital, Inc. (“Hercules”), as administrative agent and collateral agent for itself and the Hercules Lenders, as amended by that certain First Amendment to Loan and Security Agreement dated as of December 30, 2024, Second Amendment to Loan and Security Agreement dated as of July 31, 2025 and Third Amendment to the Loan and Security Agreement, dated as of April 6, 2026 (as amended, the “2024 LSA”). </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The 2024 LSA provides a secured term loan facility of up to $50.0 million in up to two tranches (collectively, the “Term Loans”), with the first tranche of $15.0 million drawn on the LSA Closing Date, and a second tranche of up to $35.0 million that may be borrowed by the Company in the discretion of the lender’s investment committee.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color w:val="231F20"/>
          <w:spacing w:val="-10"/>
          <w:sz w:val="20"/>
        </w:rPr>
        <w:t>Under the terms of the 2024 LSA, the initial date upon which the Company has to begin amortizing the Term Loans is June 1, 2028. The Term Loans accrue interest at a floating per annum rate equal to the greater of (i) (x) the “</w:t>
      </w:r>
      <w:r>
        <w:rPr>
          <w:rFonts w:ascii="Times New Roman;Times;serif" w:hAnsi="Times New Roman;Times;serif"/>
          <w:b w:val="false"/>
          <w:i w:val="false"/>
          <w:caps w:val="false"/>
          <w:smallCaps w:val="false"/>
          <w:color w:val="231F20"/>
          <w:spacing w:val="-10"/>
          <w:sz w:val="20"/>
        </w:rPr>
        <w:t>prime rate</w:t>
      </w:r>
      <w:r>
        <w:rPr>
          <w:rFonts w:ascii="Times New Roman;Times;serif" w:hAnsi="Times New Roman;Times;serif"/>
          <w:color w:val="231F20"/>
          <w:spacing w:val="-10"/>
          <w:sz w:val="20"/>
        </w:rPr>
        <w:t>” as reported in The Wall Street Journal plus (y) 2.0%, and (ii) 9.50%. The repayment terms of the Term Loans include monthly payments over a 4-year period, consisting of an interest-only period expiring June 1, 2028, followed by six monthly principal payments plus interest. At the Company’s option, the Company may prepay all or a portion of the outstanding Term Loans, subject to a prepayment premium equal to (a) 3.0% of the Term Loans being prepaid if the prepayment occurs during the twelve months following the LSA Closing Date, (b) 2.0% of the Term Loans being prepaid if the prepayment occurs after 12 months following the LSA Closing Date but on or prior to 24 months following the LSA Closing Date, and (c) 1.0% of the Term Loans being prepaid if the prepayment occurs after 24 months following the LSA Closing Date and prior to the maturity date. In addition, the Company will pay an end of term charge of 6.35% of the principal amount of the Term Loans upon the prepayment or repayment of the Term Loans and a facility charge of 0.75% upon any draws of the Term Loans.</w:t>
      </w:r>
    </w:p>
    <w:p>
      <w:pPr>
        <w:pStyle w:val="TextBody"/>
        <w:bidi w:val="0"/>
        <w:spacing w:before="0" w:after="0"/>
        <w:ind w:left="0" w:right="0" w:firstLine="360"/>
        <w:jc w:val="both"/>
        <w:rPr>
          <w:color w:val="231F20"/>
          <w:spacing w:val="-10"/>
        </w:rPr>
      </w:pPr>
      <w:r>
        <w:rPr>
          <w:color w:val="231F20"/>
          <w:spacing w:val="-10"/>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In connection with the entry into the 2024 LSA, on the LSA Closing Date, the Company issued each of the Hercules Lenders a warrant to purchase Common Stock, which warrants were amended effective August 4, 2025 in connection with the Second Amendment to Loan and Security Agreement (as amended, each a “Hercules Warrant” and, collectively, the “Hercules Warrants”). Pursuant to the terms of the Hercules Warrants, each Hercules Lender can purchase that number of shares of Common Stock equal to (i)(x) 0.04, multiplied by (y) the aggregate principal amount of all Term Loan Advances (as defined in the 2024 LSA) made to the Company by the applicable Lender, divided by (ii) $3.58, which is the exercise price of the Hercules Warrants. Each Hercules Warrant is exercisable for seven years from the LSA Closing Date. </w:t>
      </w:r>
    </w:p>
    <w:p>
      <w:pPr>
        <w:pStyle w:val="TextBody"/>
        <w:bidi w:val="0"/>
        <w:spacing w:before="0" w:after="0"/>
        <w:ind w:left="0" w:right="0" w:hanging="0"/>
        <w:jc w:val="both"/>
        <w:rPr>
          <w:color w:val="231F20"/>
          <w:spacing w:val="-10"/>
        </w:rPr>
      </w:pPr>
      <w:r>
        <w:rPr>
          <w:color w:val="231F20"/>
          <w:spacing w:val="-10"/>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2024 LSA includes customary affirmative and negative covenants and representations and warranties, including a covenant against the occurrence of a “change in control,” financial reporting obligations, and certain limitations on indebtedness, liens, investments, distributions (including dividends), collateral, transfers, mergers or acquisitions, taxes, corporate changes, and bank accounts. The 2024 LSA also includes customary events of default, including payment defaults, breaches of covenants following any applicable cure period, the occurrence of certain events that could reasonably be expected to have a “material adverse effect” as set forth in the 2024 LSA, cross acceleration to third-party indebtedness and certain events relating to bankruptcy or insolvency. Upon the occurrence of an event of default, Hercules may declare all outstanding obligations immediately due and payable and take such other actions as set forth in the 2024 LSA.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bookmarkStart w:id="1163" w:name="Tc_Uenls_ty6k2fujTPdeLnMw_8_2"/>
      <w:bookmarkStart w:id="1164" w:name="Tc_9JfFVzNd_U67Z3pIw8nF-Q_8_0"/>
      <w:bookmarkStart w:id="1165" w:name="Tc_ddUznNJ1SEis7vemZPxrvA_7_0"/>
      <w:bookmarkStart w:id="1166" w:name="Tc_zIyBMwvY4EWm2TB7ffK1SA_6_0"/>
      <w:bookmarkStart w:id="1167" w:name="Tc_LW8bwPljPU63RK5DaekTbQ_5_0"/>
      <w:bookmarkStart w:id="1168" w:name="Tc_LqlxyxyTCUG-AAHX2IYW5A_4_2"/>
      <w:bookmarkStart w:id="1169" w:name="Tc_hfAz70lRVEWeh4Lpk6-R5g_4_0"/>
      <w:bookmarkStart w:id="1170" w:name="Tc_G_fxNDNjt0mkcPfk7qhLeg_3_2"/>
      <w:bookmarkStart w:id="1171" w:name="Tc_0-KrA5dtWUibBUrbjCpfZg_3_0"/>
      <w:bookmarkStart w:id="1172" w:name="Tc_zmLeLV2Gikqs_UIm2Byavw_2_2"/>
      <w:bookmarkStart w:id="1173" w:name="Tc_f1KT7HgQUkKHxt9hMfoFww_1_2"/>
      <w:bookmarkEnd w:id="1163"/>
      <w:bookmarkEnd w:id="1164"/>
      <w:bookmarkEnd w:id="1165"/>
      <w:bookmarkEnd w:id="1166"/>
      <w:bookmarkEnd w:id="1167"/>
      <w:bookmarkEnd w:id="1168"/>
      <w:bookmarkEnd w:id="1169"/>
      <w:bookmarkEnd w:id="1170"/>
      <w:bookmarkEnd w:id="1171"/>
      <w:bookmarkEnd w:id="1172"/>
      <w:bookmarkEnd w:id="1173"/>
      <w:r>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Company must maintain Qualified Cash (as defined in the 2024 LSA), beginning on January 1, 2027 (subject to being extended to as late as January 1, 2028 depending on the Company’s receipt of specified net cash proceeds from specified sources), in an amount greater than or equal to (x) the outstanding principal amount of the Term Loan Advances, multiplied by (y) the applicable Cash Coverage Percentage (as defined in the 2024 LSA), which percentage ranges from a minimum of 45% to a maximum of 75% of Term Loan Advances, depending upon the amount of Qualified Cash.</w:t>
      </w:r>
    </w:p>
    <w:p>
      <w:pPr>
        <w:pStyle w:val="TextBody"/>
        <w:bidi w:val="0"/>
        <w:spacing w:before="0" w:after="240"/>
        <w:ind w:left="0" w:right="0" w:firstLine="360"/>
        <w:jc w:val="both"/>
        <w:rPr>
          <w:color w:val="231F20"/>
          <w:spacing w:val="-10"/>
        </w:rPr>
      </w:pPr>
      <w:r>
        <w:rPr>
          <w:color w:val="231F20"/>
          <w:spacing w:val="-10"/>
        </w:rPr>
        <w:t>​</w:t>
      </w:r>
    </w:p>
    <w:p>
      <w:pPr>
        <w:pStyle w:val="TextBody"/>
        <w:bidi w:val="0"/>
        <w:spacing w:before="0" w:after="0"/>
        <w:ind w:left="0" w:right="0" w:firstLine="360"/>
        <w:jc w:val="both"/>
        <w:rPr>
          <w:color w:val="231F20"/>
          <w:spacing w:val="-10"/>
        </w:rPr>
      </w:pPr>
      <w:r>
        <w:rPr>
          <w:color w:val="231F20"/>
          <w:spacing w:val="-10"/>
        </w:rPr>
        <w:t> </w:t>
      </w:r>
      <w:r>
        <w:rPr>
          <w:rFonts w:ascii="Times New Roman;Times;serif" w:hAnsi="Times New Roman;Times;serif"/>
          <w:color w:val="231F20"/>
          <w:spacing w:val="-10"/>
          <w:sz w:val="20"/>
        </w:rPr>
        <w:t>The following table shows the amount of principal payments due pursuant to the Term Loans by year:</w:t>
      </w:r>
    </w:p>
    <w:p>
      <w:pPr>
        <w:pStyle w:val="TextBody"/>
        <w:bidi w:val="0"/>
        <w:spacing w:before="0" w:after="0"/>
        <w:ind w:left="0" w:right="0" w:hanging="0"/>
        <w:jc w:val="left"/>
        <w:rPr/>
      </w:pPr>
      <w:r>
        <w:rPr/>
        <w:t>​</w:t>
      </w:r>
    </w:p>
    <w:tbl>
      <w:tblPr>
        <w:tblW w:w="3977" w:type="dxa"/>
        <w:jc w:val="left"/>
        <w:tblInd w:w="0" w:type="dxa"/>
        <w:tblLayout w:type="fixed"/>
        <w:tblCellMar>
          <w:top w:w="0" w:type="dxa"/>
          <w:left w:w="0" w:type="dxa"/>
          <w:bottom w:w="0" w:type="dxa"/>
          <w:right w:w="0" w:type="dxa"/>
        </w:tblCellMar>
      </w:tblPr>
      <w:tblGrid>
        <w:gridCol w:w="2461"/>
        <w:gridCol w:w="346"/>
        <w:gridCol w:w="245"/>
        <w:gridCol w:w="925"/>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562735" cy="175260"/>
                      <wp:effectExtent l="0" t="0" r="0" b="0"/>
                      <wp:wrapNone/>
                      <wp:docPr id="249" name="Frame248"/>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55575" cy="175260"/>
                      <wp:effectExtent l="0" t="0" r="0" b="0"/>
                      <wp:wrapNone/>
                      <wp:docPr id="251" name="Frame250"/>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87375" cy="175260"/>
                      <wp:effectExtent l="0" t="0" r="0" b="0"/>
                      <wp:wrapNone/>
                      <wp:docPr id="252" name="Frame251"/>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 </w:t>
            </w:r>
          </w:p>
        </w:tc>
      </w:tr>
      <w:tr>
        <w:trPr/>
        <w:tc>
          <w:tcPr>
            <w:tcW w:w="2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Payments</w:t>
            </w:r>
          </w:p>
        </w:tc>
      </w:tr>
      <w:tr>
        <w:trPr/>
        <w:tc>
          <w:tcPr>
            <w:tcW w:w="24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w:t>
            </w:r>
          </w:p>
        </w:tc>
        <w:tc>
          <w:tcPr>
            <w:tcW w:w="346" w:type="dxa"/>
            <w:tcBorders/>
            <w:vAlign w:val="center"/>
          </w:tcPr>
          <w:p>
            <w:pPr>
              <w:pStyle w:val="TableContents"/>
              <w:bidi w:val="0"/>
              <w:spacing w:before="0" w:after="1"/>
              <w:ind w:left="0" w:right="0" w:hanging="0"/>
              <w:jc w:val="center"/>
              <w:rPr/>
            </w:pPr>
            <w:r>
              <w:rPr/>
              <w:t>​</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(remaining six months)</w:t>
            </w:r>
          </w:p>
        </w:tc>
        <w:tc>
          <w:tcPr>
            <w:tcW w:w="346" w:type="dxa"/>
            <w:tcBorders/>
            <w:shd w:fill="CCEEFF" w:val="clear"/>
            <w:vAlign w:val="center"/>
          </w:tcPr>
          <w:p>
            <w:pPr>
              <w:pStyle w:val="TableContents"/>
              <w:bidi w:val="0"/>
              <w:spacing w:before="0" w:after="1"/>
              <w:ind w:left="0" w:right="0" w:hanging="0"/>
              <w:jc w:val="center"/>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1"/>
              <w:ind w:left="0" w:right="0" w:hanging="0"/>
              <w:jc w:val="right"/>
              <w:rPr/>
            </w:pPr>
            <w:r>
              <w:rPr/>
              <w:t>—</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 </w:t>
            </w:r>
          </w:p>
        </w:tc>
        <w:tc>
          <w:tcPr>
            <w:tcW w:w="245" w:type="dxa"/>
            <w:tcBorders/>
            <w:vAlign w:val="center"/>
          </w:tcPr>
          <w:p>
            <w:pPr>
              <w:pStyle w:val="TableContents"/>
              <w:bidi w:val="0"/>
              <w:spacing w:before="0" w:after="1"/>
              <w:ind w:left="0" w:right="0" w:hanging="0"/>
              <w:jc w:val="right"/>
              <w:rPr/>
            </w:pPr>
            <w:r>
              <w:rPr/>
              <w:t>​</w:t>
            </w:r>
          </w:p>
        </w:tc>
        <w:tc>
          <w:tcPr>
            <w:tcW w:w="925" w:type="dxa"/>
            <w:tcBorders/>
            <w:vAlign w:val="center"/>
          </w:tcPr>
          <w:p>
            <w:pPr>
              <w:pStyle w:val="TableContents"/>
              <w:bidi w:val="0"/>
              <w:spacing w:before="0" w:after="1"/>
              <w:ind w:left="0" w:right="0" w:hanging="0"/>
              <w:jc w:val="right"/>
              <w:rPr/>
            </w:pPr>
            <w:r>
              <w:rPr/>
              <w:t>—</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 </w:t>
            </w:r>
          </w:p>
        </w:tc>
        <w:tc>
          <w:tcPr>
            <w:tcW w:w="245" w:type="dxa"/>
            <w:tcBorders/>
            <w:shd w:fill="CCEEFF" w:val="clear"/>
            <w:vAlign w:val="center"/>
          </w:tcPr>
          <w:p>
            <w:pPr>
              <w:pStyle w:val="TableContents"/>
              <w:bidi w:val="0"/>
              <w:spacing w:before="0" w:after="1"/>
              <w:ind w:left="0" w:right="0" w:hanging="0"/>
              <w:jc w:val="right"/>
              <w:rPr/>
            </w:pPr>
            <w:r>
              <w:rPr/>
              <w:t>​</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 </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2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25"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15,000</w:t>
            </w:r>
          </w:p>
        </w:tc>
      </w:tr>
    </w:tbl>
    <w:p>
      <w:pPr>
        <w:pStyle w:val="TextBody"/>
        <w:bidi w:val="0"/>
        <w:spacing w:before="0" w:after="240"/>
        <w:ind w:left="0" w:right="0" w:hanging="0"/>
        <w:jc w:val="both"/>
        <w:rPr>
          <w:shd w:fill="FFFF00" w:val="clear"/>
        </w:rPr>
      </w:pPr>
      <w:r>
        <w:rPr>
          <w:shd w:fill="FFFF00" w:val="clea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Total interest expense recorded on these facilities during the three and six months ended June 30, 2026 was approximately $485,000 and $965,000, respectively. Total interest expense recorded on these facilities during the three and six months ended June 30, 2025 was approximately $466,000 and $928,000, respectively</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b/>
          <w:sz w:val="20"/>
        </w:rPr>
      </w:pPr>
      <w:bookmarkStart w:id="1174" w:name="Tc_BIKCVqWdmEm8F5VI0zSing_15_11"/>
      <w:bookmarkStart w:id="1175" w:name="Tc_Tgox_a9iCkqBbDUh_nwyiw_15_8"/>
      <w:bookmarkStart w:id="1176" w:name="Tc_nrOSoMUJS0Kmw6rHryMUMQ_15_5"/>
      <w:bookmarkStart w:id="1177" w:name="Tc_IO0NazPqfEiFI3kpuf5r9A_15_2"/>
      <w:bookmarkStart w:id="1178" w:name="Tc_RNBootwM_UmtkCjqH33Dtw_15_0"/>
      <w:bookmarkStart w:id="1179" w:name="Tc_Ok1zeMsEtEijifrcLur-iA_14_0"/>
      <w:bookmarkStart w:id="1180" w:name="Tc_0mQaE43aZkSWQy5Wkhh7FQ_13_0"/>
      <w:bookmarkStart w:id="1181" w:name="Tc_1TWDhPJ-C0qD1Uz0wks3Cg_12_0"/>
      <w:bookmarkStart w:id="1182" w:name="Tc_6zybFsOQOUqjHlum_lN1Xg_11_0"/>
      <w:bookmarkStart w:id="1183" w:name="Tc_Roh_l5po80G8QsecrLyPLg_10_0"/>
      <w:bookmarkStart w:id="1184" w:name="Tc_iOh60UFk1U-u8eyMkxb4iA_9_0"/>
      <w:bookmarkStart w:id="1185" w:name="Tc_uoVa5XHg5Euw6cJH0vY1YQ_8_0"/>
      <w:bookmarkStart w:id="1186" w:name="Tc_WraIfvMyR0aZv_6uQokgJw_7_0"/>
      <w:bookmarkStart w:id="1187" w:name="Tc_hAFQ6ZhjE0OHadExhiB_HQ_6_0"/>
      <w:bookmarkStart w:id="1188" w:name="Tc_Mn0uD9bAMkGzAmiEUbqOFA_5_0"/>
      <w:bookmarkStart w:id="1189" w:name="Tc_Vnk_fnQLb0Cx-s2CcqUsfg_4_11"/>
      <w:bookmarkStart w:id="1190" w:name="Tc_7dxm3Zia4UCg8cqE8m3k_w_4_9"/>
      <w:bookmarkStart w:id="1191" w:name="Tc_D-czwUSdJUSuoh6YXXQevA_4_8"/>
      <w:bookmarkStart w:id="1192" w:name="Tc_BLT4-rEEckC6V_4bYDpl6g_4_5"/>
      <w:bookmarkStart w:id="1193" w:name="Tc_ct4A2imfaEWfMXRT207YEA_4_3"/>
      <w:bookmarkStart w:id="1194" w:name="Tc_VpGYCgxzX0Sgl7B2AXnZNQ_4_2"/>
      <w:bookmarkStart w:id="1195" w:name="Tc__x9udfleH0agnR5lNUgc_A_4_0"/>
      <w:bookmarkStart w:id="1196" w:name="Tc_7GsckcIAcUOOI_UeFf5y8g_3_0"/>
      <w:bookmarkStart w:id="1197" w:name="Tc_wjXSHYrGlkmyU-MCl7kXhQ_2_11"/>
      <w:bookmarkStart w:id="1198" w:name="Tc_ilvwUCnmbUOqNA9UuukoDw_2_8"/>
      <w:bookmarkStart w:id="1199" w:name="Tc__o9X_1DIfkuj48KIZXzyKQ_2_5"/>
      <w:bookmarkStart w:id="1200" w:name="Tc_edcNH5RzRkqgit252Uu5iQ_2_2"/>
      <w:bookmarkStart w:id="1201" w:name="Tc_BfV7DgRQIEu4vaIvnEUFwg_1_8"/>
      <w:bookmarkStart w:id="1202" w:name="Tc_V_TtiAE_c02KBqdgHx4LXg_1_2"/>
      <w:bookmarkStart w:id="1203" w:name="_d356dd9d_d653_4b2b_b722_24126f670bbd"/>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r>
        <w:rPr>
          <w:rFonts w:ascii="Times New Roman;Times;serif" w:hAnsi="Times New Roman;Times;serif"/>
          <w:b/>
          <w:sz w:val="20"/>
        </w:rPr>
        <w:t>15. Segment Disclosures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val="false"/>
          <w:color w:val="231F20"/>
          <w:spacing w:val="-10"/>
          <w:sz w:val="20"/>
        </w:rPr>
        <w:t>The Company has one</w:t>
      </w:r>
      <w:r>
        <w:rPr>
          <w:rFonts w:ascii="Times New Roman;Times;serif" w:hAnsi="Times New Roman;Times;serif"/>
          <w:b/>
          <w:color w:val="231F20"/>
          <w:spacing w:val="-10"/>
          <w:sz w:val="20"/>
        </w:rPr>
        <w:t xml:space="preserve"> </w:t>
      </w:r>
      <w:r>
        <w:rPr>
          <w:rFonts w:ascii="Times New Roman;Times;serif" w:hAnsi="Times New Roman;Times;serif"/>
          <w:b w:val="false"/>
          <w:color w:val="231F20"/>
          <w:spacing w:val="-10"/>
          <w:sz w:val="20"/>
        </w:rPr>
        <w:t>reportable segment, which consists of the development of clinical and preclinical product candidates through risk-reward sharing partnerships with leading medical device companies. The Company’s CODM, its Chief Executive Officer, manages the Company's operations on a consolidated basis for the purpose of assessing performance and allocating resources based on net loss that also is reported on the condensed consolidated statement of operations and comprehensive loss as consolidated net loss. Net loss is used by the CODM to make key strategic and operational decisions. The measure of segment assets is reported on the condensed consolidated balance sheets as total consolidated assets. The majority of the Company's long-lived assets are held in the United States.</w:t>
      </w:r>
    </w:p>
    <w:p>
      <w:pPr>
        <w:pStyle w:val="TextBody"/>
        <w:bidi w:val="0"/>
        <w:spacing w:before="0" w:after="0"/>
        <w:ind w:left="0" w:right="0" w:firstLine="360"/>
        <w:jc w:val="both"/>
        <w:rPr>
          <w:rFonts w:ascii="Times New Roman;Times;serif" w:hAnsi="Times New Roman;Times;serif"/>
          <w:b w:val="false"/>
          <w:color w:val="231F20"/>
          <w:spacing w:val="-10"/>
          <w:sz w:val="20"/>
        </w:rPr>
      </w:pPr>
      <w:r>
        <w:rPr>
          <w:rFonts w:ascii="Times New Roman;Times;serif" w:hAnsi="Times New Roman;Times;serif"/>
          <w:b w:val="false"/>
          <w:color w:val="231F20"/>
          <w:spacing w:val="-10"/>
          <w:sz w:val="20"/>
        </w:rPr>
        <w:t>The following table presents selected financial information, including significant expenses regularly reviewed by the CODM, about the Company’s single operating segment for the three and six months ended June 30, 2026 and 2025:</w:t>
      </w:r>
    </w:p>
    <w:p>
      <w:pPr>
        <w:pStyle w:val="TextBody"/>
        <w:bidi w:val="0"/>
        <w:spacing w:before="0" w:after="0"/>
        <w:ind w:left="0" w:right="0" w:hanging="0"/>
        <w:jc w:val="left"/>
        <w:rPr/>
      </w:pPr>
      <w:r>
        <w:rPr/>
        <w:t>​</w:t>
      </w:r>
    </w:p>
    <w:tbl>
      <w:tblPr>
        <w:tblW w:w="8460" w:type="dxa"/>
        <w:jc w:val="left"/>
        <w:tblInd w:w="0" w:type="dxa"/>
        <w:tblLayout w:type="fixed"/>
        <w:tblCellMar>
          <w:top w:w="0" w:type="dxa"/>
          <w:left w:w="0" w:type="dxa"/>
          <w:bottom w:w="0" w:type="dxa"/>
          <w:right w:w="0" w:type="dxa"/>
        </w:tblCellMar>
      </w:tblPr>
      <w:tblGrid>
        <w:gridCol w:w="3301"/>
        <w:gridCol w:w="346"/>
        <w:gridCol w:w="228"/>
        <w:gridCol w:w="841"/>
        <w:gridCol w:w="170"/>
        <w:gridCol w:w="228"/>
        <w:gridCol w:w="841"/>
        <w:gridCol w:w="346"/>
        <w:gridCol w:w="209"/>
        <w:gridCol w:w="769"/>
        <w:gridCol w:w="155"/>
        <w:gridCol w:w="209"/>
        <w:gridCol w:w="817"/>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96135" cy="175260"/>
                      <wp:effectExtent l="0" t="0" r="0" b="0"/>
                      <wp:wrapNone/>
                      <wp:docPr id="253" name="Frame252"/>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44780" cy="175260"/>
                      <wp:effectExtent l="0" t="0" r="0" b="0"/>
                      <wp:wrapNone/>
                      <wp:docPr id="255" name="Frame25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34035" cy="175260"/>
                      <wp:effectExtent l="0" t="0" r="0" b="0"/>
                      <wp:wrapNone/>
                      <wp:docPr id="256" name="Frame25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07950" cy="175260"/>
                      <wp:effectExtent l="0" t="0" r="0" b="0"/>
                      <wp:wrapNone/>
                      <wp:docPr id="257" name="Frame256"/>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44780" cy="175260"/>
                      <wp:effectExtent l="0" t="0" r="0" b="0"/>
                      <wp:wrapNone/>
                      <wp:docPr id="258" name="Frame257"/>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534035" cy="175260"/>
                      <wp:effectExtent l="0" t="0" r="0" b="0"/>
                      <wp:wrapNone/>
                      <wp:docPr id="259" name="Frame25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2715" cy="175260"/>
                      <wp:effectExtent l="0" t="0" r="0" b="0"/>
                      <wp:wrapNone/>
                      <wp:docPr id="261" name="Frame260"/>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88315" cy="175260"/>
                      <wp:effectExtent l="0" t="0" r="0" b="0"/>
                      <wp:wrapNone/>
                      <wp:docPr id="262" name="Frame261"/>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98425" cy="175260"/>
                      <wp:effectExtent l="0" t="0" r="0" b="0"/>
                      <wp:wrapNone/>
                      <wp:docPr id="263" name="Frame262"/>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2715" cy="175260"/>
                      <wp:effectExtent l="0" t="0" r="0" b="0"/>
                      <wp:wrapNone/>
                      <wp:docPr id="264" name="Frame263"/>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18795" cy="175260"/>
                      <wp:effectExtent l="0" t="0" r="0" b="0"/>
                      <wp:wrapNone/>
                      <wp:docPr id="265" name="Frame264"/>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3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  ​ ​ ​</w:t>
            </w:r>
          </w:p>
        </w:tc>
        <w:tc>
          <w:tcPr>
            <w:tcW w:w="21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3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70" w:type="dxa"/>
            <w:tcBorders/>
            <w:vAlign w:val="center"/>
          </w:tcPr>
          <w:p>
            <w:pPr>
              <w:pStyle w:val="TableContents"/>
              <w:bidi w:val="0"/>
              <w:spacing w:before="0" w:after="1"/>
              <w:ind w:left="0" w:right="0" w:hanging="0"/>
              <w:jc w:val="left"/>
              <w:rPr/>
            </w:pPr>
            <w:r>
              <w:rPr/>
              <w:t>​</w:t>
            </w:r>
          </w:p>
        </w:tc>
        <w:tc>
          <w:tcPr>
            <w:tcW w:w="10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9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5" w:type="dxa"/>
            <w:tcBorders/>
            <w:vAlign w:val="center"/>
          </w:tcPr>
          <w:p>
            <w:pPr>
              <w:pStyle w:val="TableContents"/>
              <w:bidi w:val="0"/>
              <w:spacing w:before="0" w:after="1"/>
              <w:ind w:left="0" w:right="0" w:hanging="0"/>
              <w:jc w:val="left"/>
              <w:rPr/>
            </w:pPr>
            <w:r>
              <w:rPr/>
              <w:t>​</w:t>
            </w:r>
          </w:p>
        </w:tc>
        <w:tc>
          <w:tcPr>
            <w:tcW w:w="10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 thousands)</w:t>
            </w:r>
          </w:p>
        </w:tc>
        <w:tc>
          <w:tcPr>
            <w:tcW w:w="346" w:type="dxa"/>
            <w:tcBorders/>
            <w:vAlign w:val="center"/>
          </w:tcPr>
          <w:p>
            <w:pPr>
              <w:pStyle w:val="TableContents"/>
              <w:bidi w:val="0"/>
              <w:spacing w:before="0" w:after="1"/>
              <w:ind w:left="0" w:right="0" w:hanging="0"/>
              <w:jc w:val="left"/>
              <w:rPr/>
            </w:pPr>
            <w:r>
              <w:rPr/>
              <w:t> </w:t>
            </w:r>
          </w:p>
        </w:tc>
        <w:tc>
          <w:tcPr>
            <w:tcW w:w="228"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  ​</w:t>
            </w:r>
          </w:p>
        </w:tc>
        <w:tc>
          <w:tcPr>
            <w:tcW w:w="170" w:type="dxa"/>
            <w:tcBorders/>
            <w:vAlign w:val="center"/>
          </w:tcPr>
          <w:p>
            <w:pPr>
              <w:pStyle w:val="TableContents"/>
              <w:bidi w:val="0"/>
              <w:spacing w:before="0" w:after="1"/>
              <w:ind w:left="0" w:right="0" w:hanging="0"/>
              <w:jc w:val="left"/>
              <w:rPr/>
            </w:pPr>
            <w:r>
              <w:rPr/>
              <w:t> </w:t>
            </w:r>
          </w:p>
        </w:tc>
        <w:tc>
          <w:tcPr>
            <w:tcW w:w="228"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09"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right"/>
              <w:rPr/>
            </w:pPr>
            <w:r>
              <w:rPr/>
              <w:t>  ​</w:t>
            </w:r>
          </w:p>
        </w:tc>
        <w:tc>
          <w:tcPr>
            <w:tcW w:w="155" w:type="dxa"/>
            <w:tcBorders/>
            <w:vAlign w:val="center"/>
          </w:tcPr>
          <w:p>
            <w:pPr>
              <w:pStyle w:val="TableContents"/>
              <w:bidi w:val="0"/>
              <w:spacing w:before="0" w:after="1"/>
              <w:ind w:left="0" w:right="0" w:hanging="0"/>
              <w:jc w:val="left"/>
              <w:rPr/>
            </w:pPr>
            <w:r>
              <w:rPr/>
              <w:t> </w:t>
            </w:r>
          </w:p>
        </w:tc>
        <w:tc>
          <w:tcPr>
            <w:tcW w:w="209"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  ​</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Partnership revenue </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667</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9" w:type="dxa"/>
            <w:tcBorders/>
            <w:shd w:fill="CCEEFF" w:val="clear"/>
            <w:vAlign w:val="center"/>
          </w:tcPr>
          <w:p>
            <w:pPr>
              <w:pStyle w:val="TableContents"/>
              <w:bidi w:val="0"/>
              <w:spacing w:before="0" w:after="1"/>
              <w:ind w:left="0" w:right="0" w:hanging="0"/>
              <w:jc w:val="right"/>
              <w:rPr/>
            </w:pPr>
            <w:r>
              <w:rPr/>
              <w:t>—</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1,399</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revenue</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w:t>
            </w:r>
          </w:p>
        </w:tc>
        <w:tc>
          <w:tcPr>
            <w:tcW w:w="170"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w:t>
            </w:r>
          </w:p>
        </w:tc>
        <w:tc>
          <w:tcPr>
            <w:tcW w:w="155"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305</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right"/>
              <w:rPr/>
            </w:pPr>
            <w:r>
              <w:rPr/>
              <w:t>​</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revenues</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w:t>
            </w:r>
          </w:p>
        </w:tc>
        <w:tc>
          <w:tcPr>
            <w:tcW w:w="170"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w:t>
            </w:r>
          </w:p>
        </w:tc>
        <w:tc>
          <w:tcPr>
            <w:tcW w:w="155"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Non-clinical development costs</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3,379</w:t>
            </w:r>
          </w:p>
        </w:tc>
        <w:tc>
          <w:tcPr>
            <w:tcW w:w="170"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4,607</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7,429</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9,072</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Clinical development costs</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4,960</w:t>
            </w:r>
          </w:p>
        </w:tc>
        <w:tc>
          <w:tcPr>
            <w:tcW w:w="170"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2,633</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8,534</w:t>
            </w:r>
          </w:p>
        </w:tc>
        <w:tc>
          <w:tcPr>
            <w:tcW w:w="155"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5,575</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 and consulting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8,823</w:t>
            </w:r>
          </w:p>
        </w:tc>
        <w:tc>
          <w:tcPr>
            <w:tcW w:w="170"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7,002</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17,611</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13,666</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2,505</w:t>
            </w:r>
          </w:p>
        </w:tc>
        <w:tc>
          <w:tcPr>
            <w:tcW w:w="170"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3,250</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5,356</w:t>
            </w:r>
          </w:p>
        </w:tc>
        <w:tc>
          <w:tcPr>
            <w:tcW w:w="155"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6,215</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w:t>
            </w:r>
          </w:p>
        </w:tc>
        <w:tc>
          <w:tcPr>
            <w:tcW w:w="170"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w:t>
            </w:r>
          </w:p>
        </w:tc>
      </w:tr>
      <w:tr>
        <w:trPr/>
        <w:tc>
          <w:tcPr>
            <w:tcW w:w="330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2,287</w:t>
            </w:r>
          </w:p>
        </w:tc>
        <w:tc>
          <w:tcPr>
            <w:tcW w:w="170"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2,544</w:t>
            </w:r>
          </w:p>
        </w:tc>
        <w:tc>
          <w:tcPr>
            <w:tcW w:w="34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2,882</w:t>
            </w:r>
          </w:p>
        </w:tc>
        <w:tc>
          <w:tcPr>
            <w:tcW w:w="155"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5,170</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1,768</w:t>
            </w:r>
          </w:p>
        </w:tc>
        <w:tc>
          <w:tcPr>
            <w:tcW w:w="170"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w:t>
            </w:r>
          </w:p>
        </w:tc>
        <w:tc>
          <w:tcPr>
            <w:tcW w:w="346"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2,589</w:t>
            </w:r>
          </w:p>
        </w:tc>
        <w:tc>
          <w:tcPr>
            <w:tcW w:w="155"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(23,755)</w:t>
            </w:r>
          </w:p>
        </w:tc>
        <w:tc>
          <w:tcPr>
            <w:tcW w:w="170"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(19,363)</w:t>
            </w:r>
          </w:p>
        </w:tc>
        <w:tc>
          <w:tcPr>
            <w:tcW w:w="346" w:type="dxa"/>
            <w:tcBorders/>
            <w:vAlign w:val="center"/>
          </w:tcPr>
          <w:p>
            <w:pPr>
              <w:pStyle w:val="TableContents"/>
              <w:bidi w:val="0"/>
              <w:spacing w:before="0" w:after="1"/>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(44,446)</w:t>
            </w:r>
          </w:p>
        </w:tc>
        <w:tc>
          <w:tcPr>
            <w:tcW w:w="155" w:type="dxa"/>
            <w:tcBorders/>
            <w:vAlign w:val="center"/>
          </w:tcPr>
          <w:p>
            <w:pPr>
              <w:pStyle w:val="TableContents"/>
              <w:bidi w:val="0"/>
              <w:spacing w:before="0" w:after="1"/>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(38,118)</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segment expenses primarily include the gain on the sale of strategic investments as well as general and administrative costs not presented in other line items.</w:t>
            </w:r>
          </w:p>
        </w:tc>
      </w:tr>
    </w:tbl>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16. Net Loss Per Share</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Basic net loss per share of Common Stock is computed by dividing net loss less any adjustment to the carrying value of Series A Preferred Stock by the weighted-average number of shares of Common Stock which includes the weighted average effect of the Pre-Funded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color w:val="231F20"/>
          <w:spacing w:val="-10"/>
          <w:sz w:val="20"/>
        </w:rPr>
      </w:pPr>
      <w:bookmarkStart w:id="1204" w:name="Tc_Wrpi33KmtkWq9IAyZeqjNg_10_0"/>
      <w:bookmarkStart w:id="1205" w:name="Tc_lmKy-NFKPka7_po52FbshA_9_0"/>
      <w:bookmarkStart w:id="1206" w:name="Tc_qV3CglDUT0qt0-SJTXeJ3g_8_0"/>
      <w:bookmarkStart w:id="1207" w:name="Tc_KoQnsPRh4k244DoanclEGQ_7_4"/>
      <w:bookmarkStart w:id="1208" w:name="Tc_M9duhaieUky5ce7G4_XRPw_7_0"/>
      <w:bookmarkStart w:id="1209" w:name="Tc_CnxXsySrIkKeeZEk2gscag_6_0"/>
      <w:bookmarkStart w:id="1210" w:name="Tc_upPnKSRSIU2jQIFubinKtw_5_0"/>
      <w:bookmarkStart w:id="1211" w:name="Tc_5na9WWnhRket8K1G7UetfA_4_0"/>
      <w:bookmarkStart w:id="1212" w:name="Tc_Cs2zFdJ6qkmgQhfwPah7eQ_3_4"/>
      <w:bookmarkStart w:id="1213" w:name="Tc_s0KetstZN06TPANyrEsR2g_3_2"/>
      <w:bookmarkStart w:id="1214" w:name="Tc_egsO0LOQuUGeHibQvAYn3w_2_2"/>
      <w:bookmarkEnd w:id="1204"/>
      <w:bookmarkEnd w:id="1205"/>
      <w:bookmarkEnd w:id="1206"/>
      <w:bookmarkEnd w:id="1207"/>
      <w:bookmarkEnd w:id="1208"/>
      <w:bookmarkEnd w:id="1209"/>
      <w:bookmarkEnd w:id="1210"/>
      <w:bookmarkEnd w:id="1211"/>
      <w:bookmarkEnd w:id="1212"/>
      <w:bookmarkEnd w:id="1213"/>
      <w:bookmarkEnd w:id="1214"/>
      <w:r>
        <w:rPr>
          <w:rFonts w:ascii="Times New Roman;Times;serif" w:hAnsi="Times New Roman;Times;serif"/>
          <w:color w:val="231F20"/>
          <w:spacing w:val="-10"/>
          <w:sz w:val="20"/>
        </w:rPr>
        <w:t>Warrants, for the purchase of shares of Common Stock, for which the remaining unfunded exercise price is $0.0001 per share. Shares of Common Stock outstanding but subject to forfeiture and cancellation by the Company are excluded from the weighted-average number of shares until the period in which such shares are no longer subject to forfeiture. In connection with the Business Combination, the Sponsor agreed that 25% or 1,000,000 of the shares of Common Stock held by the Sponsor (the “Forfeitable Shares”) will be forfeited to the Company on the first business day following the fifth anniversary of the closing of the Business Combination (the “Closing”), unless, as to 500,000 shares, the volume-weighted average price of the Common Stock is greater than or equal to $15.00 per share over any 20 trading days within any 30-trading day period (the “Initial Milestone Event”), and as to the remaining 500,000 shares, the volume-weighted average price of the Common Stock is greater than or equal to $20.00 per share over any 20 trading days within any 30-trading day period (the “Final Milestone Event”). On April 12, 2023, the Initial Milestone Event was achieved and 500,000 of the Forfeitable Shares are no longer subject to forfeiture. However, the Final Milestone event has not occurred, and 500,000 Forfeitable Shares remain subject to forfeiture.</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In connection with the Business Combination, existing Orchestra BioMed, Inc. stockholders had the opportunity to elect to participate in an earnout (the “Earnout”) pursuant to which such each electing stockholder (each, an “Earnout Participant”) may receive a portion of additional contingent consideration of up to 8,000,000 shares of Common Stock (the “Earnout Consideration”). Each Earnout Participant agreed to extend their applicable lock-up period from 6 months to 12 months after the Closing, pursuant to an Earnout Election Agreement and such Earnout Participants are collectively be entitled to receive: (i) 4,000,000 shares of the Earnout Consideration, in the event that, from the time beginning immediately after the Closing until the fifth anniversary of the Closing (the “Earnout Period”), the Initial Milestone Event occurs; and (ii) an additional 4,000,000 shares of the Earnout Consideration, in the event that, during the Earnout Period, the Final Milestone Event occurs. Approximately 91% of Orchestra BioMed, Inc. stockholders elected to participate in the Earnout. On April 12, 2023, the Initial Milestone Event was achieved, and each Earnout Participant was issued their Pro Rata Portion (as such term is defined in the merger agreement for the Business Combination) of 4,000,000 shares of Common Stock, resulting in a total of 3,999,987 shares of Common Stock being issued (less than 4,000,000 due to rounding). </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Diluted net loss per share of Common Stock includes the effect, if any, from the potential exercise or conversion of securities, such as stock options, Orchestra BioMed, Inc. Warrants, Private Warrants, Officer and Director Warrants, Forfeitable Shares, Earnout Consideration, and Series A Preferred Stock, using the if-converted method, which would result in the issuance of incremental shares of Common Stock, unless their effect would be anti-dilutive.</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following outstanding potentially dilutive securities have been excluded from the calculation of diluted net loss per share for the three and six months ended June 30, 2026 and June 30, 2025, as their effect is anti-dilutive:</w:t>
      </w:r>
    </w:p>
    <w:p>
      <w:pPr>
        <w:pStyle w:val="TextBody"/>
        <w:bidi w:val="0"/>
        <w:spacing w:before="0" w:after="0"/>
        <w:ind w:left="0" w:right="0" w:hanging="0"/>
        <w:jc w:val="left"/>
        <w:rPr/>
      </w:pPr>
      <w:r>
        <w:rPr/>
        <w:t>​</w:t>
      </w:r>
    </w:p>
    <w:tbl>
      <w:tblPr>
        <w:tblW w:w="5490" w:type="dxa"/>
        <w:jc w:val="left"/>
        <w:tblInd w:w="0" w:type="dxa"/>
        <w:tblLayout w:type="fixed"/>
        <w:tblCellMar>
          <w:top w:w="0" w:type="dxa"/>
          <w:left w:w="0" w:type="dxa"/>
          <w:bottom w:w="0" w:type="dxa"/>
          <w:right w:w="0" w:type="dxa"/>
        </w:tblCellMar>
      </w:tblPr>
      <w:tblGrid>
        <w:gridCol w:w="2611"/>
        <w:gridCol w:w="346"/>
        <w:gridCol w:w="1036"/>
        <w:gridCol w:w="346"/>
        <w:gridCol w:w="1151"/>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657985" cy="175260"/>
                      <wp:effectExtent l="0" t="0" r="0" b="0"/>
                      <wp:wrapNone/>
                      <wp:docPr id="266" name="Frame265"/>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57860" cy="175260"/>
                      <wp:effectExtent l="0" t="0" r="0" b="0"/>
                      <wp:wrapNone/>
                      <wp:docPr id="268" name="Frame26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730885" cy="175260"/>
                      <wp:effectExtent l="0" t="0" r="0" b="0"/>
                      <wp:wrapNone/>
                      <wp:docPr id="270" name="Frame269"/>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533" w:type="dxa"/>
            <w:gridSpan w:val="3"/>
            <w:tcBorders/>
            <w:vAlign w:val="center"/>
          </w:tcPr>
          <w:p>
            <w:pPr>
              <w:pStyle w:val="TableContents"/>
              <w:bidi w:val="0"/>
              <w:spacing w:before="0" w:after="1"/>
              <w:ind w:left="0" w:right="0" w:hanging="0"/>
              <w:jc w:val="center"/>
              <w:rPr/>
            </w:pPr>
            <w:r>
              <w:rPr/>
              <w:t>​</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3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8,484,821</w:t>
            </w:r>
          </w:p>
        </w:tc>
        <w:tc>
          <w:tcPr>
            <w:tcW w:w="346"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6,963,765</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4,148,146</w:t>
            </w:r>
          </w:p>
        </w:tc>
        <w:tc>
          <w:tcPr>
            <w:tcW w:w="346"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2,057,812</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restricted stock units</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3,518,226</w:t>
            </w:r>
          </w:p>
        </w:tc>
        <w:tc>
          <w:tcPr>
            <w:tcW w:w="346"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2,151,535</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A Preferred Stock</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1,666,666</w:t>
            </w:r>
          </w:p>
        </w:tc>
        <w:tc>
          <w:tcPr>
            <w:tcW w:w="346"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right"/>
              <w:rPr/>
            </w:pPr>
            <w:r>
              <w:rPr/>
              <w:t>—</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Forfeitable Shares</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500,000</w:t>
            </w:r>
          </w:p>
        </w:tc>
        <w:tc>
          <w:tcPr>
            <w:tcW w:w="346"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500,000</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Earnout Consideration</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4,000,000</w:t>
            </w:r>
          </w:p>
        </w:tc>
        <w:tc>
          <w:tcPr>
            <w:tcW w:w="346" w:type="dxa"/>
            <w:tcBorders/>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4,000,000</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22,317,859</w:t>
            </w:r>
          </w:p>
        </w:tc>
        <w:tc>
          <w:tcPr>
            <w:tcW w:w="346" w:type="dxa"/>
            <w:tcBorders/>
            <w:shd w:fill="CCEEFF" w:val="clear"/>
            <w:vAlign w:val="center"/>
          </w:tcPr>
          <w:p>
            <w:pPr>
              <w:pStyle w:val="TableContents"/>
              <w:bidi w:val="0"/>
              <w:spacing w:before="0" w:after="1"/>
              <w:ind w:left="0" w:right="0" w:hanging="0"/>
              <w:jc w:val="left"/>
              <w:rPr/>
            </w:pPr>
            <w:r>
              <w:rPr/>
              <w:t> </w:t>
            </w:r>
          </w:p>
        </w:tc>
        <w:tc>
          <w:tcPr>
            <w:tcW w:w="115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15,673,112</w:t>
            </w:r>
          </w:p>
        </w:tc>
      </w:tr>
    </w:tbl>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bookmarkStart w:id="1215" w:name="_9b129328_bed6_4d84_bb48_1d19058606bc"/>
      <w:bookmarkEnd w:id="1215"/>
      <w:r>
        <w:rPr/>
        <w:t>​</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216" w:name="Item2ManagementsDiscussionandAnalysisofF"/>
      <w:bookmarkStart w:id="1217" w:name="_9938ddf0_d391_41b1_b451_44feea8af2d7"/>
      <w:bookmarkEnd w:id="1216"/>
      <w:bookmarkEnd w:id="1217"/>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both"/>
        <w:rPr>
          <w:rFonts w:ascii="Times New Roman;Times;serif" w:hAnsi="Times New Roman;Times;serif"/>
          <w:i/>
          <w:color w:val="231F20"/>
          <w:spacing w:val="-10"/>
          <w:sz w:val="20"/>
        </w:rPr>
      </w:pPr>
      <w:r>
        <w:rPr>
          <w:rFonts w:ascii="Times New Roman;Times;serif" w:hAnsi="Times New Roman;Times;serif"/>
          <w:i/>
          <w:color w:val="231F20"/>
          <w:spacing w:val="-10"/>
          <w:sz w:val="20"/>
        </w:rPr>
        <w:t>Unless otherwise indicated or the context otherwise requires, references to “Orchestra,” “Orchestra’s,” the “Company,” “we,” “its” and “our” refer to Orchestra BioMed Holdings, Inc. and its consolidated subsidiaries. All references to years, unless otherwise noted, refer to the Company’s fiscal years, which end on December 31.</w:t>
      </w:r>
    </w:p>
    <w:p>
      <w:pPr>
        <w:pStyle w:val="TextBody"/>
        <w:bidi w:val="0"/>
        <w:spacing w:before="0" w:after="240"/>
        <w:ind w:left="0" w:right="0" w:firstLine="360"/>
        <w:jc w:val="both"/>
        <w:rPr>
          <w:rFonts w:ascii="Times New Roman;Times;serif" w:hAnsi="Times New Roman;Times;serif"/>
          <w:i/>
          <w:color w:val="231F20"/>
          <w:spacing w:val="-10"/>
          <w:sz w:val="20"/>
        </w:rPr>
      </w:pPr>
      <w:r>
        <w:rPr>
          <w:rFonts w:ascii="Times New Roman;Times;serif" w:hAnsi="Times New Roman;Times;serif"/>
          <w:i/>
          <w:color w:val="231F20"/>
          <w:spacing w:val="-10"/>
          <w:sz w:val="20"/>
        </w:rPr>
        <w:t>The following discussion should be read together with “Special Note Regarding Forward-Looking Statements” and the Company’s unaudited condensed consolidated financial statements, together with the related notes thereto, included elsewhere in this Quarterly Report on Form 10-Q (the “Consolidated Financial Statements”), and the Company’s audited consolidated financial statements, together with the related notes thereto, included in the Company’s Annual Report on Form 10-K for the year ended December 31, 2025 filed with the SEC on March 12, 2026.</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We are a biomedical innovation company accelerating high-impact technologies to patients through risk-reward sharing partnerships with leading medical device companies. Our partnership-enabled business model focuses on forging strategic collaborations with leading medical device companies to drive successful global commercialization of products we develop. We are led by a highly accomplished, multidisciplinary management team and a board of directors with extensive experience in all phases of therapeutic device development. Our business was formed in 2018 by assembling a pipeline of multiple late-stage clinical product candidates originally developed by our founding team. </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Our two flagship product candidates – Atrioventricular Interval Modulation Therapy (“AVIM Therapy”) and Virtue® Sirolimus AngioInfusion™ Balloon (“Virtue SAB”) – are currently undergoing pivotal clinical trials for their lead indications, each representing multi-billion-dollar annual global market opportunities. </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AVIM Therapy is a bioelectronic treatment for hypertension (“HTN”), the leading risk factor for death worldwide, and is designed to be delivered by a pacemaker and achieve immediate, substantial and sustained reductions in blood pressure in patients with hypertensive heart disease. We have an exclusive license and collaboration agreement with Medtronic Inc. (an affiliate of Medtronic plc) (“Medtronic”), one of the largest medical device companies in the world and the global leader in cardiac pacing therapies, for the development and commercialization of AVIM Therapy for the treatment of uncontrolled HTN in patients indicated for a cardiac pacemaker. We are actively conducting a double-blind, randomized, global pivotal trial (the “BACKBEAT Trial”), enrolling 284 evaluable randomized patients with uncontrolled HTN who are indicated for a dual-chamber pacemaker, with enrollment currently targeted to be completed by the end of the third quarter of 2026. Assuming primary endpoints are met, we and Medtronic intend to submit primary endpoint data as a late-breaking clinical trial presentation at a major cardiovascular conference in the second quarter of 2027, followed by marketing application submissions to the FDA and global regulatory agencies. AVIM Therapy has received FDA Breakthrough Device Designations (“BDDs”) for the pacemaker indicated group studied in the BACKBEAT Trial and an estimated 7.7 million total patients in the U.S. with uncontrolled hypertension despite medical therapy and increased cardiovascular risk.</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Virtue SAB is a highly differentiated, first-of-its-kind non-coated drug delivery angioplasty system designed to deliver a large liquid dose of our proprietary extended-release formulation of sirolimus, SirolimusEFR™, for the treatment of atherosclerotic artery disease, the leading cause of mortality worldwide. Virtue SAB has been granted BDD by the FDA for the treatment of coronary in-stent restenosis, coronary small vessel disease and below-the-knee peripheral artery disease, in each case, within specified parameters. We have initiated patient enrollments in the Virtue SAB in the Treatment of Coronary In-Stent Restenosis (“ISR”) Trial (the “Virtue Trial”) for our U.S. investigational device exemption (“IDE”) pivotal study randomizing Virtue SAB versus Boston Scientific Corporation’s AGENT™ drug-coated balloon. Designed to support regulatory approval of Virtue SAB, the Virtue Trial is expected to enroll 740 patients in the United States with enrollment completion currently planned for 2027. We cannot provide assurance that we will be able to complete enrollment of the BACKBEAT Trial or the Virtue Trial in the timeframes we anticipate.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Since Orchestra BioMed, Inc.’s inception, we have devoted the substantial majority of our resources to research and development and clinical activities in support of our product development and collaboration efforts. We have funded our operations primarily through the issuance of our common stock, convertible preferred stock, and warrants, as well as proceeds from the Business Combination, our prior Terumo Agreement (as defined below) and the Termination and ROFR Agreement (as defined below), borrowings under debt arrangements, the sale of future revenues, sale of strategic investments, and, to a lesser extent, product revenue from our subsidiary, FreeHold Surgical, LLC. (“FreeHold”). We had $110.0 million in cash and cash equivalents and marketable securities at June 30, 2026, comprised of $20.5 million in cash and cash equivalents and $89.5 million in marketable securities. We have incurred net losses each year since inception. Our net losses were $44.4 million and $38.1 million for the six months ended June 30, 2026 and 2025, respectively. We expect to continue to incur significant losses for the foreseeable future. As of June 30, 2026, we had an accumulated deficit of $407.0 million.</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Orchestra BioMed, Inc., our wholly owned subsidiary, was incorporated in Delaware in 2017 and completed a recapitalization and mergers with Caliber Therapeutics, Inc., a Delaware corporation that has, among other things, the rights to the Virtue SAB product candidate and BackBeat Medical, Inc., (“BackBeat”) a Delaware Corporation that has, among other things, the rights to the AVIM Therapy product candidate, in 2018. Orchestra BioMed, Inc. completed the conversions of Caliber Therapeutics, Inc. to Caliber Therapeutics, LLC, a Delaware limited liability company, and BackBeat Medical, Inc. to BackBeat Medical, LLC, a Delaware limited liability company, in 2019.</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We were incorporated in the Cayman Islands in 2020, as a special purpose acquisition company under the name Health Sciences Acquisitions Corporation 2 (“HSAC2”). On January 26, 2023, Orchestra BioMed, Inc., our wholly owned subsidiary, and HSAC2 consummated a business combination pursuant to which, among other things, Orchestra BioMed, Inc. became a wholly owned subsidiary of HSAC2 and HSAC2 changed its name to Orchestra BioMed Holdings, Inc. (the “Business Combination”). HSAC2 Holdings, LLC was the sponsor of HSAC2 prior to the Business Combination.</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Effective June 26, 2026, following the annual reconstitution of the Russell indexes, we were added to the Russell 3000® Index and the Russell 2000® Index. The Russell indexes are reconstituted annually based primarily on market capitalization and other objective criteria established by FTSE Russell. Inclusion in the Russell 3000® Index also results in inclusion in the Russell 2000® Index for qualifying small-cap companies. We expect to remain a constituent of these indexes at least until the next semi-annual reconstitution, subject to the applicable index methodology</w:t>
      </w:r>
      <w:r>
        <w:rPr>
          <w:rFonts w:ascii="Times New Roman;Times;serif" w:hAnsi="Times New Roman;Times;serif"/>
          <w:i/>
          <w:color w:val="231F20"/>
          <w:spacing w:val="-10"/>
          <w:sz w:val="20"/>
        </w:rPr>
        <w:t>.</w:t>
      </w:r>
    </w:p>
    <w:p>
      <w:pPr>
        <w:pStyle w:val="TextBody"/>
        <w:bidi w:val="0"/>
        <w:spacing w:before="0" w:after="240"/>
        <w:ind w:left="0" w:right="0" w:hanging="0"/>
        <w:jc w:val="both"/>
        <w:rPr>
          <w:rFonts w:ascii="Times New Roman;Times;serif" w:hAnsi="Times New Roman;Times;serif"/>
          <w:b/>
          <w:sz w:val="20"/>
        </w:rPr>
      </w:pPr>
      <w:bookmarkStart w:id="1218" w:name="_946cbbfd_19e1_4e48_a2c5_7c2ce19e57f2"/>
      <w:bookmarkEnd w:id="1218"/>
      <w:r>
        <w:rPr>
          <w:rFonts w:ascii="Times New Roman;Times;serif" w:hAnsi="Times New Roman;Times;serif"/>
          <w:b/>
          <w:sz w:val="20"/>
        </w:rPr>
        <w:t>Components of Our Results of Operations</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Partnership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Previously, our partnership revenues related to our former distribution agreement with Terumo Corporation (“Terumo Corporation”) and Terumo Medical Corporation (“TMC” and, collectively with Terumo Corporation, “Terumo”) for global development and commercialization of Virtue SAB in coronary and peripheral vascular indications (the “Terumo Agreement”). In future periods, partnership revenues may include revenues related to the Exclusive License and Collaboration Agreement, dated as of June 30, 2022, by and among, Orchestra BioMed, Inc., BackBeat Medical, LLC and Medtronic, discussed in Note 3 – “</w:t>
      </w:r>
      <w:r>
        <w:rPr>
          <w:rFonts w:ascii="Times New Roman;Times;serif" w:hAnsi="Times New Roman;Times;serif"/>
          <w:i/>
          <w:color w:val="231F20"/>
          <w:spacing w:val="-10"/>
          <w:sz w:val="20"/>
        </w:rPr>
        <w:t>Medtronic Agreement”</w:t>
      </w:r>
      <w:r>
        <w:rPr>
          <w:rFonts w:ascii="Times New Roman;Times;serif" w:hAnsi="Times New Roman;Times;serif"/>
          <w:color w:val="231F20"/>
          <w:spacing w:val="-10"/>
          <w:sz w:val="20"/>
        </w:rPr>
        <w:t xml:space="preserve"> to the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 xml:space="preserve">Orchestra BioMed, Inc., and its wholly owned subsidiary BackBeat, entered into an Exclusive License and Collaboration Agreement, dated as of June 30, 2022, with Medtronic for the development and commercialization of AVIM Therapy for the treatment of pacemaker-indicated patients with uncontrolled HTN despite the use of anti-hypertensive medications (the “Medtronic Agreement”). On July 31, 2025, our wholly owned subsidiaries, Orchestra BioMed, Inc. and BackBeat, and Medtronic entered into an amendment to the Medtronic Agreement, which became effective on August 4, 2025 (the “Medtronic Agreement Amendment”), to provide, among other things, a development and commercialization framework for future AVIM-therapy integration into a dual-chamber leadless pacemaker. Pursuant to the Medtronic Agreement Amendment, we will be required, among other things, to reimburse Medtronic for certain expenses incurred in connection with the integration of AVIM-therapy into Medtronic’s dual-chamber leadless pacemaker, up to a specified cap, to the extent Medtronic elects to pursue such integration. </w:t>
      </w:r>
    </w:p>
    <w:p>
      <w:pPr>
        <w:pStyle w:val="TextBody"/>
        <w:bidi w:val="0"/>
        <w:spacing w:before="0" w:after="240"/>
        <w:ind w:left="0" w:right="0" w:firstLine="360"/>
        <w:jc w:val="both"/>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We have determined that the arrangement set forth in the Medtronic Agreement as amended by the Medtronic Agreement Amendment (the “Amended Medtronic Agreement”) is a collaboration within the scope of ASC 808, Collaborative Arrangements (“ASC 808”). In addition, we concluded that Medtronic is a customer for a good or service that is a distinct unit of account, and therefore, the transactions set forth in the Amended Medtronic Agreement should be accounted for under ASC 606. Through June 30, 2026, there have been no amounts recognized as revenue under the Amended Medtronic Agreement.</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Product Revenue</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Product revenues related to sales of FreeHold’s intracorporeal organ retractors and such revenues are recognized at a point-in-time upon the shipment of the product to the customer given payment terms are typically 30 days. FreeHold products are currently only sold in the United States.</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Cost of Product Revenue and Gross Margin</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Cost of product revenue consists primarily of costs of finished goods components for use in FreeHold’s products and assembled, warehoused and inventoried by a third-party vendor. We expect the cost of finished goods product revenue to increase in absolute terms as our revenue grows.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Our gross margin has been, and will continue to be, affected by a variety of factors, including finished goods manufactured component parts, as well as the cost to assemble and warehouse the FreeHold product finished goods inventory.</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Research and Development Expenses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Research and development expenses consist of applicable personnel, consulting, materials and clinical study expenses. Research and development expenses include:</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Certain personnel-related expenses, including salaries, benefits, bonus, travel and stock-based compensation;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Cost of clinical studies to support new products and product enhancements, including expenses for clinical research organizations and site payments;</w:t>
            </w:r>
          </w:p>
        </w:tc>
      </w:tr>
    </w:tbl>
    <w:tbl>
      <w:tblPr>
        <w:tblW w:w="10001" w:type="dxa"/>
        <w:jc w:val="left"/>
        <w:tblInd w:w="0" w:type="dxa"/>
        <w:tblLayout w:type="fixed"/>
        <w:tblCellMar>
          <w:top w:w="28" w:type="dxa"/>
          <w:left w:w="28" w:type="dxa"/>
          <w:bottom w:w="28" w:type="dxa"/>
          <w:right w:w="28" w:type="dxa"/>
        </w:tblCellMar>
      </w:tblPr>
      <w:tblGrid>
        <w:gridCol w:w="124"/>
        <w:gridCol w:w="256"/>
        <w:gridCol w:w="9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Product device materials and drug supply, and manufacturing used for internal research and development, and clinical activities;</w:t>
            </w:r>
          </w:p>
        </w:tc>
      </w:tr>
    </w:tbl>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Allocated overhead including facilities and information technology expenses; and</w:t>
            </w:r>
          </w:p>
        </w:tc>
      </w:tr>
    </w:tbl>
    <w:tbl>
      <w:tblPr>
        <w:tblW w:w="10061" w:type="dxa"/>
        <w:jc w:val="left"/>
        <w:tblInd w:w="0" w:type="dxa"/>
        <w:tblLayout w:type="fixed"/>
        <w:tblCellMar>
          <w:top w:w="28" w:type="dxa"/>
          <w:left w:w="28" w:type="dxa"/>
          <w:bottom w:w="28" w:type="dxa"/>
          <w:right w:w="28" w:type="dxa"/>
        </w:tblCellMar>
      </w:tblPr>
      <w:tblGrid>
        <w:gridCol w:w="124"/>
        <w:gridCol w:w="256"/>
        <w:gridCol w:w="9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Cost of outside consultants who assist with device and drug development, regulatory affairs, clinical affairs and quality assurance.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Research and development costs are expensed as incurred. 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studies. In the future, we expect research and development expenses to increase in absolute dollars as we continue to develop new products, enhance existing products and technologies, initiate clinical studies, manufacture drug supply for internal research and development and clinical trial supply and perform activities related to obtaining additional regulatory approvals. We do not track expenses by product candidate, unless tracking such expenses is required pursuant to the revenue recognition model for a collaborative arrangement.</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Selling, General and Administrative Expenses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Selling, general and administrative expenses consist of personnel-related expenses, including salaries, benefits, bonus, travel and stock-based compensation. Other selling, general and administrative expenses include professional services fees, including legal, audit, investor/public relations, and insurance costs, outside consultants costs, employee recruiting and training costs, and non-income taxes. Moreover, we incur and expect to continue to incur additional expenses associated with operating as a public company, including legal, accounting, insurance, exchange listing and U.S. Securities and Exchange Commission (“SEC”) compliance, and investor relations expenses. We expect quarterly selling, general and administrative expenses to continue to increase as we conduct additional clinical trials and expand our operations as a public company.</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Interest (Expense) Income, Net</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Interest (expense) income, net reflects the income generated from marketable securities during the year. Interest expense is attributable to loan interest and interest related to the Royalty Purchase Agreement.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On July 31, 2025, we entered into a revenue participation right purchase and sale agreement (the “Royalty Purchase Agreement”) with Ligand Pharmaceuticals Incorporated (“Ligand”). Under the terms of the Royalty Purchase Agreement, in exchange for payment of $35.0 million (the “Investment Amount”), less certain reimbursable expenses, Ligand acquired the right to receive tiered royalty payments from us (the “Royalty Interest”) with respect to revenue (including certain licensing revenue) received by us in a calendar year in connection with worldwide net product sales, or other product revenue received by, by us and our licensees (“Annual Net Sales”) of (a) AVIM Therapy (the “Primary Product”) and (b) Virtue SAB (the “Secondary Product” and together with the Primary Product, the “Products”) in the field of coronary artery treatment. Our estimate of this total interest expense associated with the Royalty Interest resulted in an effective annual interest rate of approximately 21.2% as of June 30, 2026. This estimate contains significant assumptions that impact both the amount recorded at execution and the interest expense that will be recognized over the royalty period. We will periodically assess the estimated amounts due and payable to Ligand and to the extent the amount or timing of such payments is materially different than the original estimates, an adjustment will be recorded prospectively to increase or decrease interest expense. There are a number of factors that could materially affect the amount and timing of the royalty payments to be paid by us to Ligand and, correspondingly, the amount of interest expense recorded by us.</w:t>
      </w:r>
    </w:p>
    <w:p>
      <w:pPr>
        <w:pStyle w:val="TextBody"/>
        <w:bidi w:val="0"/>
        <w:spacing w:before="0" w:after="0"/>
        <w:ind w:left="0" w:right="0" w:firstLine="360"/>
        <w:jc w:val="both"/>
        <w:rPr>
          <w:color w:val="231F20"/>
          <w:spacing w:val="-10"/>
        </w:rPr>
      </w:pPr>
      <w:r>
        <w:rPr>
          <w:color w:val="231F20"/>
          <w:spacing w:val="-10"/>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On November 6, 2024 (the “LSA Closing Date”), we and certain of our subsidiaries (collectively, the “Borrower”) entered into a Loan and Security Agreement, by and among the Borrower, the several banks and other financial institutions or entities party thereto, as lenders (collectively, the “Hercules Lenders”), and Hercules Capital, Inc. (“Hercules”), as administrative agent and collateral agent for itself and the Hercules Lenders, as amended by that certain First Amendment to Loan and Security Agreement dated as of December 30, 2024, Second Amendment to Loan and Security Agreement dated as of July 31, 2025 and Third Amendment to Loan and Security Agreement, dated as of April 6, 2026 (as amended, the “2024 LSA”) . </w:t>
      </w:r>
    </w:p>
    <w:p>
      <w:pPr>
        <w:pStyle w:val="TextBody"/>
        <w:bidi w:val="0"/>
        <w:spacing w:before="0" w:after="0"/>
        <w:ind w:left="0" w:right="0" w:firstLine="360"/>
        <w:jc w:val="both"/>
        <w:rPr>
          <w:color w:val="231F20"/>
          <w:spacing w:val="-10"/>
        </w:rPr>
      </w:pPr>
      <w:r>
        <w:rPr>
          <w:color w:val="231F20"/>
          <w:spacing w:val="-10"/>
        </w:rPr>
        <w:t>​</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2024 LSA provides a secured term loan facility of up to $50.0 million in up to two tranches (collectively, the “Term Loans”), with the first tranche of $15.0 million drawn on the LSA Closing Date, and a second tranche of up $35.0 million that may be borrowed by us in the discretion of the lender’s investment committee.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color w:val="231F20"/>
          <w:spacing w:val="-10"/>
          <w:sz w:val="20"/>
        </w:rPr>
        <w:t>Under the terms of the 2024 LSA, the initial date upon which we have to begin amortizing Term Loans is June 1, 2028. The Term Loans accrue interest at a floating per annum rate equal to the greater of (i) (x) the “prime rate” as reported in The Wall Street Journal plus (y) 2.0%, and (ii) 9.50%. The repayment terms of the Term Loans include monthly payments over a 4-year period, consisting of an interest-only period expiring June 1, 2028, followed by six monthly principal payments plus interest. At our option, we may prepay all or a portion of the outstanding Term Loans, subject to a prepayment premium equal to (a) 3.0% of the Term Loans being prepaid if the prepayment occurs during the twelve months following the LSA Closing Date, (b) 2.0% of the Term Loans being prepaid if the prepayment occurs after 12 months following the LSA Closing Date but on or prior to 24 months following the LSA Closing Date, and (c) 1.0% of the Term Loans being prepaid if the prepayment occurs after 24 months following the LSA Closing Date and prior to the maturity date. In addition, we will pay an end of term charge of 6.35% of the principal amount of the Term Loans upon the prepayment or repayment of the Term Loans and a facility charge of 0.75% upon any draws of the Term Loans. Refer to Note 14 – “</w:t>
      </w:r>
      <w:r>
        <w:rPr>
          <w:rFonts w:ascii="Times New Roman;Times;serif" w:hAnsi="Times New Roman;Times;serif"/>
          <w:i/>
          <w:color w:val="231F20"/>
          <w:spacing w:val="-10"/>
          <w:sz w:val="20"/>
        </w:rPr>
        <w:t>Debt Financing”</w:t>
      </w:r>
      <w:r>
        <w:rPr>
          <w:rFonts w:ascii="Times New Roman;Times;serif" w:hAnsi="Times New Roman;Times;serif"/>
          <w:color w:val="231F20"/>
          <w:spacing w:val="-10"/>
          <w:sz w:val="20"/>
        </w:rPr>
        <w:t xml:space="preserve"> to the Consolidated Financial Statements.</w:t>
      </w:r>
    </w:p>
    <w:p>
      <w:pPr>
        <w:pStyle w:val="TextBody"/>
        <w:bidi w:val="0"/>
        <w:spacing w:before="0" w:after="0"/>
        <w:ind w:left="0" w:right="0" w:firstLine="360"/>
        <w:jc w:val="both"/>
        <w:rPr>
          <w:color w:val="231F20"/>
          <w:spacing w:val="-10"/>
        </w:rPr>
      </w:pPr>
      <w:r>
        <w:rPr>
          <w:color w:val="231F20"/>
          <w:spacing w:val="-10"/>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On July 31, 2025, we and our wholly-owned subsidiaries, Orchestra BioMed, Inc. and BackBeat, entered into a Loan Agreement with Medtronic (the “Medtronic Loan Agreement”), pursuant to which Medtronic agreed to extend a convertible loan to us in the aggregate original principal amount of $20.0 million (the “Medtronic Loan”). The Medtronic Loan is evidenced by a secured subordinated convertible promissory note (the “Medtronic Note”) issued by us. The issuance of the Medtronic Note to Medtronic and the funding of the Medtronic Loan occurred on May 1, 2026 pursuant to the conditions described in the Medtronic Loan Agreement. The Medtronic Note accrues simple interest at a rate of 11% per annum provided that no interest payments will be paid or due until the Maturity Date.</w:t>
      </w:r>
    </w:p>
    <w:p>
      <w:pPr>
        <w:pStyle w:val="TextBody"/>
        <w:bidi w:val="0"/>
        <w:spacing w:before="0" w:after="0"/>
        <w:ind w:left="0" w:right="0" w:firstLine="360"/>
        <w:jc w:val="both"/>
        <w:rPr>
          <w:color w:val="231F20"/>
          <w:spacing w:val="-10"/>
        </w:rPr>
      </w:pPr>
      <w:r>
        <w:rPr>
          <w:color w:val="231F20"/>
          <w:spacing w:val="-10"/>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Medtronic Note does not allow for prepayment without the prior consent of Medtronic. Unless earlier converted, or redeemed, the Medtronic Note will mature on April 27, 2031 (the “Maturity Date”). In addition, the payment or other satisfaction of the obligations set forth in the Medtronic Loan Agreement are subordinate in right of payment to the prior payment in full of the senior obligations. The obligations arising under the Medtronic Loan Agreement and the Medtronic Note are secured by security interests in, and pledges over, the Company’s assets, subject to certain agreed security principles, permitted liens and other customary exceptions and qualifications.</w:t>
      </w:r>
    </w:p>
    <w:p>
      <w:pPr>
        <w:pStyle w:val="TextBody"/>
        <w:bidi w:val="0"/>
        <w:spacing w:before="0" w:after="0"/>
        <w:ind w:left="0" w:right="0" w:firstLine="360"/>
        <w:jc w:val="both"/>
        <w:rPr>
          <w:color w:val="231F20"/>
          <w:spacing w:val="-10"/>
        </w:rPr>
      </w:pPr>
      <w:r>
        <w:rPr>
          <w:color w:val="231F20"/>
          <w:spacing w:val="-10"/>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principal balance of the Medtronic Note, together with all accrued and unpaid interest thereon (collectively, the “Balance”) will automatically convert into a revenue share (the “Revenue Share Credit”), if FDA approval of a Medtronic device incorporating AVIM Therapy is achieved prior to the Maturity Date. Upon conversion of the outstanding Balance, we shall pay to Medtronic the Revenue Share Credit, which shall equal 15% of the revenue share amounts that we receive under the Amended Medtronic Agreement, until such time as the total Revenue Share Credit payments equal $40.0 million.</w:t>
      </w:r>
    </w:p>
    <w:p>
      <w:pPr>
        <w:pStyle w:val="TextBody"/>
        <w:bidi w:val="0"/>
        <w:spacing w:before="0" w:after="0"/>
        <w:ind w:left="0" w:right="0" w:firstLine="360"/>
        <w:jc w:val="both"/>
        <w:rPr>
          <w:color w:val="231F20"/>
          <w:spacing w:val="-10"/>
        </w:rPr>
      </w:pPr>
      <w:r>
        <w:rPr>
          <w:color w:val="231F20"/>
          <w:spacing w:val="-10"/>
        </w:rPr>
        <w:t>​</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We recognize interest expense using the effective interest method over the estimated term of the arrangement. The effective interest rate is based on our estimate of the timing and amount of future payments expected to be made under the arrangement. The total interest expense associated with the Medtronic Note resulted in an effective interest rate of 13.2% as of June 30, 2026. We will periodically assess the estimated amounts due and payable to Medtronic and to the extent the amount or timing of such payments is materially different than the original estimates, an adjustment will be recorded prospectively to the condensed consolidated statements of operations and comprehensive loss.</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Change in the fair value of derivative liability</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In November 2025, we sold 200,000 shares of Series A Preferred Stock at a purchase price equal to $100.00 per share for gross proceeds of $20.0 million. We concluded that certain conversion and redemption features meet the requirements to be separately accounted for as a bifurcated derivative. As a result, we bifurcated the Series A Preferred Stock between (i) the host contract, which was accounted for within mezzanine equity, and (ii) the bifurcated derivative liabilities related to those conversion and redemption features. The bifurcated derivatives are remeasured to fair value at each reporting period with changes in fair value recorded in the condensed consolidated statement of operations and comprehensive loss.</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Gain on Sale of Strategic Investments</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The gain on sale of strategic investments represents a change in the preferred shares and convertible notes of Vivasure Medical Limited (“Vivasure”), a privately-held company and related party, and fair value of our investment in common stock holdings of a previously publicly-held company. On January 9, 2026, Haemonetics Corporation, a global medical technology company focused on delivering innovative solutions designed to improve patient outcomes, announced its acquisition of Vivasure. Vivasure was a strategic investment of ours prior to its acquisition. In connection with the closing of the transaction, we recognized a gain on the sale of strategic investments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color w:val="231F20"/>
          <w:spacing w:val="-10"/>
          <w:sz w:val="20"/>
        </w:rPr>
      </w:pPr>
      <w:r>
        <w:rPr>
          <w:rFonts w:ascii="Times New Roman;Times;serif" w:hAnsi="Times New Roman;Times;serif"/>
          <w:color w:val="231F20"/>
          <w:spacing w:val="-10"/>
          <w:sz w:val="20"/>
        </w:rPr>
        <w:t>$2.3 million. We may receive additional proceeds in the future associated with revenue earnouts based on the achievement of certain milestones.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Previously, the investments in Vivasure did not have readily determinable fair values and were recorded at cost, less any impairment, plus or minus changes resulting from observable price changes in orderly transactions for identical or similar investments of the same issuer, in accordance with the provisions of ASU 2016-01</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b/>
          <w:sz w:val="20"/>
        </w:rPr>
      </w:pPr>
      <w:bookmarkStart w:id="1219" w:name="_07119653_7f27_4f90_be1a_a7127e33d4fe"/>
      <w:bookmarkEnd w:id="1219"/>
      <w:r>
        <w:rPr>
          <w:rFonts w:ascii="Times New Roman;Times;serif" w:hAnsi="Times New Roman;Times;serif"/>
          <w:b/>
          <w:sz w:val="20"/>
        </w:rPr>
        <w:t>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Comparison of the Six Months Ended June 30, 2026 and 2025</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following table presents our statement of operations data for the six months ended June 30, 2026 and 2025, and the dollar and percentage change between the two periods (in thousands):</w:t>
      </w:r>
    </w:p>
    <w:tbl>
      <w:tblPr>
        <w:tblW w:w="8472" w:type="dxa"/>
        <w:jc w:val="left"/>
        <w:tblInd w:w="0" w:type="dxa"/>
        <w:tblLayout w:type="fixed"/>
        <w:tblCellMar>
          <w:top w:w="0" w:type="dxa"/>
          <w:left w:w="0" w:type="dxa"/>
          <w:bottom w:w="0" w:type="dxa"/>
          <w:right w:w="0" w:type="dxa"/>
        </w:tblCellMar>
      </w:tblPr>
      <w:tblGrid>
        <w:gridCol w:w="3856"/>
        <w:gridCol w:w="346"/>
        <w:gridCol w:w="196"/>
        <w:gridCol w:w="721"/>
        <w:gridCol w:w="146"/>
        <w:gridCol w:w="196"/>
        <w:gridCol w:w="721"/>
        <w:gridCol w:w="146"/>
        <w:gridCol w:w="196"/>
        <w:gridCol w:w="631"/>
        <w:gridCol w:w="146"/>
        <w:gridCol w:w="163"/>
        <w:gridCol w:w="707"/>
        <w:gridCol w:w="301"/>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448560" cy="175260"/>
                      <wp:effectExtent l="0" t="0" r="0" b="0"/>
                      <wp:wrapNone/>
                      <wp:docPr id="271" name="Frame270"/>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24460" cy="175260"/>
                      <wp:effectExtent l="0" t="0" r="0" b="0"/>
                      <wp:wrapNone/>
                      <wp:docPr id="273" name="Frame2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57835" cy="175260"/>
                      <wp:effectExtent l="0" t="0" r="0" b="0"/>
                      <wp:wrapNone/>
                      <wp:docPr id="274" name="Frame27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92710" cy="175260"/>
                      <wp:effectExtent l="0" t="0" r="0" b="0"/>
                      <wp:wrapNone/>
                      <wp:docPr id="275" name="Frame27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24460" cy="175260"/>
                      <wp:effectExtent l="0" t="0" r="0" b="0"/>
                      <wp:wrapNone/>
                      <wp:docPr id="276" name="Frame2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57835" cy="175260"/>
                      <wp:effectExtent l="0" t="0" r="0" b="0"/>
                      <wp:wrapNone/>
                      <wp:docPr id="277" name="Frame27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92710" cy="175260"/>
                      <wp:effectExtent l="0" t="0" r="0" b="0"/>
                      <wp:wrapNone/>
                      <wp:docPr id="278" name="Frame27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24460" cy="175260"/>
                      <wp:effectExtent l="0" t="0" r="0" b="0"/>
                      <wp:wrapNone/>
                      <wp:docPr id="279" name="Frame2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00685" cy="175260"/>
                      <wp:effectExtent l="0" t="0" r="0" b="0"/>
                      <wp:wrapNone/>
                      <wp:docPr id="280" name="Frame27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92710" cy="175260"/>
                      <wp:effectExtent l="0" t="0" r="0" b="0"/>
                      <wp:wrapNone/>
                      <wp:docPr id="281" name="Frame28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03505" cy="175260"/>
                      <wp:effectExtent l="0" t="0" r="0" b="0"/>
                      <wp:wrapNone/>
                      <wp:docPr id="282" name="Frame281"/>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48945" cy="175260"/>
                      <wp:effectExtent l="0" t="0" r="0" b="0"/>
                      <wp:wrapNone/>
                      <wp:docPr id="283" name="Frame282"/>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91135" cy="175260"/>
                      <wp:effectExtent l="0" t="0" r="0" b="0"/>
                      <wp:wrapNone/>
                      <wp:docPr id="284" name="Frame283"/>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6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01"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146" w:type="dxa"/>
            <w:tcBorders/>
            <w:vAlign w:val="center"/>
          </w:tcPr>
          <w:p>
            <w:pPr>
              <w:pStyle w:val="TableContents"/>
              <w:bidi w:val="0"/>
              <w:spacing w:before="0" w:after="0"/>
              <w:ind w:left="0" w:right="0" w:hanging="0"/>
              <w:jc w:val="left"/>
              <w:rPr/>
            </w:pPr>
            <w:r>
              <w:rPr/>
              <w:t>​</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01"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(1,399)</w:t>
            </w:r>
          </w:p>
        </w:tc>
        <w:tc>
          <w:tcPr>
            <w:tcW w:w="146"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w:t>
            </w:r>
          </w:p>
        </w:tc>
        <w:tc>
          <w:tcPr>
            <w:tcW w:w="146" w:type="dxa"/>
            <w:tcBorders/>
            <w:vAlign w:val="center"/>
          </w:tcPr>
          <w:p>
            <w:pPr>
              <w:pStyle w:val="TableContents"/>
              <w:bidi w:val="0"/>
              <w:spacing w:before="0" w:after="0"/>
              <w:ind w:left="0" w:right="0" w:hanging="0"/>
              <w:jc w:val="left"/>
              <w:rPr/>
            </w:pPr>
            <w:r>
              <w:rPr/>
              <w:t>​</w:t>
            </w:r>
          </w:p>
        </w:tc>
        <w:tc>
          <w:tcPr>
            <w:tcW w:w="1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(1,506)</w:t>
            </w:r>
          </w:p>
        </w:tc>
        <w:tc>
          <w:tcPr>
            <w:tcW w:w="146"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146"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32,371</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27,335</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5,036</w:t>
            </w:r>
          </w:p>
        </w:tc>
        <w:tc>
          <w:tcPr>
            <w:tcW w:w="146"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18 </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12,202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12,527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w:t>
            </w:r>
          </w:p>
        </w:tc>
        <w:tc>
          <w:tcPr>
            <w:tcW w:w="146" w:type="dxa"/>
            <w:tcBorders/>
            <w:shd w:fill="CCEEFF" w:val="clear"/>
            <w:vAlign w:val="center"/>
          </w:tcPr>
          <w:p>
            <w:pPr>
              <w:pStyle w:val="TableContents"/>
              <w:bidi w:val="0"/>
              <w:spacing w:before="0" w:after="0"/>
              <w:ind w:left="0" w:right="0" w:hanging="0"/>
              <w:jc w:val="left"/>
              <w:rPr/>
            </w:pPr>
            <w:r>
              <w:rPr/>
              <w:t>​</w:t>
            </w:r>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44,630</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39,952</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4,678</w:t>
            </w:r>
          </w:p>
        </w:tc>
        <w:tc>
          <w:tcPr>
            <w:tcW w:w="146" w:type="dxa"/>
            <w:tcBorders/>
            <w:vAlign w:val="center"/>
          </w:tcPr>
          <w:p>
            <w:pPr>
              <w:pStyle w:val="TableContents"/>
              <w:bidi w:val="0"/>
              <w:spacing w:before="0" w:after="0"/>
              <w:ind w:left="0" w:right="0" w:hanging="0"/>
              <w:jc w:val="left"/>
              <w:rPr/>
            </w:pPr>
            <w:r>
              <w:rPr/>
              <w:t>​</w:t>
            </w:r>
          </w:p>
        </w:tc>
        <w:tc>
          <w:tcPr>
            <w:tcW w:w="1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12 </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(44,432)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(38,248)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(6,184)</w:t>
            </w:r>
          </w:p>
        </w:tc>
        <w:tc>
          <w:tcPr>
            <w:tcW w:w="146"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(expense)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(2,719)</w:t>
            </w:r>
          </w:p>
        </w:tc>
        <w:tc>
          <w:tcPr>
            <w:tcW w:w="146"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(2,092)</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the fair value of derivative liability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w:t>
            </w:r>
          </w:p>
        </w:tc>
        <w:tc>
          <w:tcPr>
            <w:tcW w:w="146"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100 </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strategic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2,286</w:t>
            </w:r>
          </w:p>
        </w:tc>
        <w:tc>
          <w:tcPr>
            <w:tcW w:w="146"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100 </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income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w:t>
            </w:r>
          </w:p>
        </w:tc>
        <w:tc>
          <w:tcPr>
            <w:tcW w:w="146" w:type="dxa"/>
            <w:tcBorders/>
            <w:vAlign w:val="center"/>
          </w:tcPr>
          <w:p>
            <w:pPr>
              <w:pStyle w:val="TableContents"/>
              <w:bidi w:val="0"/>
              <w:spacing w:before="0" w:after="0"/>
              <w:ind w:left="0" w:right="0" w:hanging="0"/>
              <w:jc w:val="left"/>
              <w:rPr/>
            </w:pPr>
            <w:r>
              <w:rPr/>
              <w:t>​</w:t>
            </w:r>
          </w:p>
        </w:tc>
        <w:tc>
          <w:tcPr>
            <w:tcW w:w="1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(44,446)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(38,118)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(6,328)</w:t>
            </w:r>
          </w:p>
        </w:tc>
        <w:tc>
          <w:tcPr>
            <w:tcW w:w="146" w:type="dxa"/>
            <w:tcBorders/>
            <w:shd w:fill="CCEEFF" w:val="clear"/>
            <w:vAlign w:val="center"/>
          </w:tcPr>
          <w:p>
            <w:pPr>
              <w:pStyle w:val="TableContents"/>
              <w:bidi w:val="0"/>
              <w:spacing w:before="0" w:after="0"/>
              <w:ind w:left="0" w:right="0" w:hanging="0"/>
              <w:jc w:val="left"/>
              <w:rPr/>
            </w:pPr>
            <w:r>
              <w:rPr/>
              <w:t>​</w:t>
            </w:r>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Partnership Revenue</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Partnership revenue decreased by $1.4 million, or 100%, in the six months ended June 30, 2026 from $1.4 million for the six months ended June 30, 2025. Partnership revenue related to the recognition of the combined performance obligation for the license granted to Terumo and the ongoing research and development services over the estimated performance period for the Virtue SAB coronary ISR indication, using a proportional performance model, based on the costs incurred relative to the total estimated costs of the research and development services. Prior to the termination of the Terumo Agreement, as of each quarterly reporting date, we evaluated our estimates of the total costs expected to be incurred through the completion of the combined performance obligation and updated our estimates as necessary. On October 24, 2025, we and Terumo entered into a termination and right of first refusal agreement (the “Termination and ROFR Agreement”), which superseded and terminated the Terumo Agreement, and we no longer have any performance obligations under the Terumo Agreement.</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For the six months ended June 30, 2025, the expenses incurred related to the Terumo Agreement were $6.8 million. The estimated total costs associated with the Terumo Agreement through completion as of June 30, 2025 were similar compared to the estimates as of December 31, 2024.</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Product Revenue</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Product revenue decreased by $107,000, or approximately 35%, to $198,000 in the six months ended June 30, 2026 from $305,000 for the six months ended June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Product revenue primarily consisted of the sale of FreeHold Duo and Trio intracorporeal organ retractors and revenue is recognized when product is shipped to customers. The decrease in product revenue was due to a decrease in the purchase volume. There were no changes to the per unit sale price in either period between the periods presented.</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Cost of Product Revenue</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Cost of product revenue decreased by $33,000, or approximately 37%, to $57,000 in the six months ended June 30, 2026 from $90,000 for the six months ended June 30, 2025. The decrease was primarily due to lower sales volume of FreeHold Duo and Trio intracorporeal organ retractors.</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Research and Development Expenses</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following table summarizes our research and development expenses for the six months ended June 30, 2026 and 2025 (in thousands):</w:t>
      </w:r>
    </w:p>
    <w:tbl>
      <w:tblPr>
        <w:tblW w:w="6866" w:type="dxa"/>
        <w:jc w:val="left"/>
        <w:tblInd w:w="0" w:type="dxa"/>
        <w:tblLayout w:type="fixed"/>
        <w:tblCellMar>
          <w:top w:w="0" w:type="dxa"/>
          <w:left w:w="0" w:type="dxa"/>
          <w:bottom w:w="0" w:type="dxa"/>
          <w:right w:w="0" w:type="dxa"/>
        </w:tblCellMar>
      </w:tblPr>
      <w:tblGrid>
        <w:gridCol w:w="3631"/>
        <w:gridCol w:w="109"/>
        <w:gridCol w:w="109"/>
        <w:gridCol w:w="109"/>
        <w:gridCol w:w="109"/>
        <w:gridCol w:w="109"/>
        <w:gridCol w:w="109"/>
        <w:gridCol w:w="346"/>
        <w:gridCol w:w="211"/>
        <w:gridCol w:w="676"/>
        <w:gridCol w:w="346"/>
        <w:gridCol w:w="211"/>
        <w:gridCol w:w="791"/>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305685" cy="175260"/>
                      <wp:effectExtent l="0" t="0" r="0" b="0"/>
                      <wp:wrapNone/>
                      <wp:docPr id="285" name="Frame284"/>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9215" cy="175260"/>
                      <wp:effectExtent l="0" t="0" r="0" b="0"/>
                      <wp:wrapNone/>
                      <wp:docPr id="286" name="Frame2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9215" cy="175260"/>
                      <wp:effectExtent l="0" t="0" r="0" b="0"/>
                      <wp:wrapNone/>
                      <wp:docPr id="287" name="Frame2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88" name="Frame2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9215" cy="175260"/>
                      <wp:effectExtent l="0" t="0" r="0" b="0"/>
                      <wp:wrapNone/>
                      <wp:docPr id="289" name="Frame2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9215" cy="175260"/>
                      <wp:effectExtent l="0" t="0" r="0" b="0"/>
                      <wp:wrapNone/>
                      <wp:docPr id="290" name="Frame2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9215" cy="175260"/>
                      <wp:effectExtent l="0" t="0" r="0" b="0"/>
                      <wp:wrapNone/>
                      <wp:docPr id="291" name="Frame2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29260" cy="175260"/>
                      <wp:effectExtent l="0" t="0" r="0" b="0"/>
                      <wp:wrapNone/>
                      <wp:docPr id="294" name="Frame29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02285" cy="175260"/>
                      <wp:effectExtent l="0" t="0" r="0" b="0"/>
                      <wp:wrapNone/>
                      <wp:docPr id="297" name="Frame29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2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6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 and consulting costs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12,544</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Non-clinical development costs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9,216</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Clinical development costs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5,575</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research and development expenses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32,371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27,335</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Research and development expenses increased by $5.0 million, or approximately 18%, to $32.4 million for the six months ended June 30, 2026 from $27.3 million for the six months ended June 30, 2025. This is primarily due to an increase in support of ongoing work to advance the BACKBEAT Trial and the Virtue Trial. The increase included an increase in personnel-related expenses of $3.9 million due to increased headcount and consulting costs, an increase of $3.0 million in clinical development costs, partially offset by a decrease of $1.6 million in non-clinical development costs associated with research and development program costs, supplies, and testing.</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total research and development expenses summarized above include $6.8 million for the six months ended June 30, 2025 related to the Terumo Agreement, which was terminated in October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Selling, General and Administrative Expenses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Selling, general and administrative expenses decreased by $325,000, or approximately 3%, to $12.2 million for the six months ended June 30, 2026, from $12.5 million of expense for the six months ended June 30, 2025. The decrease primarily resulted from a decrease of $642,000 in stock-based compensation, partially offset by an increase of $288,000 in accounting, finance, and legal expenses.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Interest (Expense) Income, Net</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Interest (expense) income, net decreased by $2.7 million, or approximately 2092%, to $2.6 million of interest expense for the six months ended June 30, 2026, from $130,000 of income for the six months ended June 30, 2025. The net interest expense in the 2026 period consisted primarily of monthly interest expense resulting from the 2024 LSA, the Medtronic Note, and the Royalty Purchase Agreement partially offset by interest earned from marketable securities. The net interest income in the 2025 period consisted primarily of interest earned from marketable securities partially offset by monthly interest expense resulting from the 2024 LSA.</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Change in the fair value of derivative liability</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The derivative liability of the Series A Preferred Stock was remeasured to a fair value of $2.5 million as of June 30, 2026. We recognized a gain of $289,000 for the six months ended June 30, 2026 primarily due to changes in the fair value inputs and assumptions used in the valuation model since the measurement at December 31,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Gain on Sale of Strategic Investments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On January 9, 2026, Haemonetics Corporation, a global medical technology company focused on delivering innovative solutions designed to improve patient outcomes, announced its acquisition of Vivasure. In connection with the closing of the transaction, we are eligible to receive up to approximately $10.7 million of proceeds in 2026 associated with the transaction. During the six months ended June 30, 2026, we received proceeds of $4.8 million and the remainder may be received in 2026 based on the achievement of a milestone. For the six months ended June 30, 2026, we recognized a gain on the sale of strategic investments of $2.3 million.</w:t>
      </w:r>
    </w:p>
    <w:p>
      <w:pPr>
        <w:pStyle w:val="TextBody"/>
        <w:bidi w:val="0"/>
        <w:spacing w:before="0" w:after="240"/>
        <w:ind w:left="0" w:right="0" w:hanging="0"/>
        <w:jc w:val="both"/>
        <w:rPr>
          <w:rFonts w:ascii="Times New Roman;Times;serif" w:hAnsi="Times New Roman;Times;serif"/>
          <w:b/>
          <w:sz w:val="20"/>
        </w:rPr>
      </w:pPr>
      <w:bookmarkStart w:id="1220" w:name="_9229e251_03b3_4cbb_814b_18013144d136"/>
      <w:bookmarkEnd w:id="1220"/>
      <w:r>
        <w:rPr>
          <w:rFonts w:ascii="Times New Roman;Times;serif" w:hAnsi="Times New Roman;Times;serif"/>
          <w:b/>
          <w:sz w:val="20"/>
        </w:rPr>
        <w:t>Comparison of the Three Months Ended June 30, 2026 and 2025</w:t>
      </w:r>
    </w:p>
    <w:p>
      <w:pPr>
        <w:pStyle w:val="TextBody"/>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following table presents our statement of operations data for the three months ended June 30, 2026 and 2025, and the dollar and percentage change between the two periods (in thousands):</w:t>
      </w:r>
    </w:p>
    <w:tbl>
      <w:tblPr>
        <w:tblW w:w="8472" w:type="dxa"/>
        <w:jc w:val="left"/>
        <w:tblInd w:w="0" w:type="dxa"/>
        <w:tblLayout w:type="fixed"/>
        <w:tblCellMar>
          <w:top w:w="0" w:type="dxa"/>
          <w:left w:w="0" w:type="dxa"/>
          <w:bottom w:w="0" w:type="dxa"/>
          <w:right w:w="0" w:type="dxa"/>
        </w:tblCellMar>
      </w:tblPr>
      <w:tblGrid>
        <w:gridCol w:w="3856"/>
        <w:gridCol w:w="346"/>
        <w:gridCol w:w="196"/>
        <w:gridCol w:w="721"/>
        <w:gridCol w:w="146"/>
        <w:gridCol w:w="196"/>
        <w:gridCol w:w="721"/>
        <w:gridCol w:w="146"/>
        <w:gridCol w:w="196"/>
        <w:gridCol w:w="631"/>
        <w:gridCol w:w="146"/>
        <w:gridCol w:w="206"/>
        <w:gridCol w:w="664"/>
        <w:gridCol w:w="301"/>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448560" cy="175260"/>
                      <wp:effectExtent l="0" t="0" r="0" b="0"/>
                      <wp:wrapNone/>
                      <wp:docPr id="298" name="Frame297"/>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9"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24460" cy="175260"/>
                      <wp:effectExtent l="0" t="0" r="0" b="0"/>
                      <wp:wrapNone/>
                      <wp:docPr id="300" name="Frame2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57835" cy="175260"/>
                      <wp:effectExtent l="0" t="0" r="0" b="0"/>
                      <wp:wrapNone/>
                      <wp:docPr id="301" name="Frame30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92710" cy="175260"/>
                      <wp:effectExtent l="0" t="0" r="0" b="0"/>
                      <wp:wrapNone/>
                      <wp:docPr id="302" name="Frame30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24460" cy="175260"/>
                      <wp:effectExtent l="0" t="0" r="0" b="0"/>
                      <wp:wrapNone/>
                      <wp:docPr id="303" name="Frame3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457835" cy="175260"/>
                      <wp:effectExtent l="0" t="0" r="0" b="0"/>
                      <wp:wrapNone/>
                      <wp:docPr id="304" name="Frame30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92710" cy="175260"/>
                      <wp:effectExtent l="0" t="0" r="0" b="0"/>
                      <wp:wrapNone/>
                      <wp:docPr id="305" name="Frame30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24460" cy="175260"/>
                      <wp:effectExtent l="0" t="0" r="0" b="0"/>
                      <wp:wrapNone/>
                      <wp:docPr id="306" name="Frame3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00685" cy="175260"/>
                      <wp:effectExtent l="0" t="0" r="0" b="0"/>
                      <wp:wrapNone/>
                      <wp:docPr id="307" name="Frame30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92710" cy="175260"/>
                      <wp:effectExtent l="0" t="0" r="0" b="0"/>
                      <wp:wrapNone/>
                      <wp:docPr id="308" name="Frame30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0810" cy="175260"/>
                      <wp:effectExtent l="0" t="0" r="0" b="0"/>
                      <wp:wrapNone/>
                      <wp:docPr id="309" name="Frame30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21640" cy="175260"/>
                      <wp:effectExtent l="0" t="0" r="0" b="0"/>
                      <wp:wrapNone/>
                      <wp:docPr id="310" name="Frame309"/>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91135" cy="175260"/>
                      <wp:effectExtent l="0" t="0" r="0" b="0"/>
                      <wp:wrapNone/>
                      <wp:docPr id="311" name="Frame310"/>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6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01"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146" w:type="dxa"/>
            <w:tcBorders/>
            <w:vAlign w:val="center"/>
          </w:tcPr>
          <w:p>
            <w:pPr>
              <w:pStyle w:val="TableContents"/>
              <w:bidi w:val="0"/>
              <w:spacing w:before="0" w:after="0"/>
              <w:ind w:left="0" w:right="0" w:hanging="0"/>
              <w:jc w:val="left"/>
              <w:rPr/>
            </w:pPr>
            <w:r>
              <w:rPr/>
              <w:t>​</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01"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664" w:type="dxa"/>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(667)</w:t>
            </w:r>
          </w:p>
        </w:tc>
        <w:tc>
          <w:tcPr>
            <w:tcW w:w="1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w:t>
            </w:r>
          </w:p>
        </w:tc>
        <w:tc>
          <w:tcPr>
            <w:tcW w:w="14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(748)</w:t>
            </w:r>
          </w:p>
        </w:tc>
        <w:tc>
          <w:tcPr>
            <w:tcW w:w="1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1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16,590</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13,853</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2,737</w:t>
            </w:r>
          </w:p>
        </w:tc>
        <w:tc>
          <w:tcPr>
            <w:tcW w:w="1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20 </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5,829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6,264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w:t>
            </w:r>
          </w:p>
        </w:tc>
        <w:tc>
          <w:tcPr>
            <w:tcW w:w="14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22,444</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20,163</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2,281</w:t>
            </w:r>
          </w:p>
        </w:tc>
        <w:tc>
          <w:tcPr>
            <w:tcW w:w="14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11 </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(22,356)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(19,327)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(3,029)</w:t>
            </w:r>
          </w:p>
        </w:tc>
        <w:tc>
          <w:tcPr>
            <w:tcW w:w="1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(expense)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(1,732)</w:t>
            </w:r>
          </w:p>
        </w:tc>
        <w:tc>
          <w:tcPr>
            <w:tcW w:w="1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(4,811)</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the fair value of derivative liability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w:t>
            </w:r>
          </w:p>
        </w:tc>
        <w:tc>
          <w:tcPr>
            <w:tcW w:w="1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100 </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strategic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1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100 </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(1,399)</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(1,363)</w:t>
            </w:r>
          </w:p>
        </w:tc>
        <w:tc>
          <w:tcPr>
            <w:tcW w:w="14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(3,786)</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(23,755)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(19,363)</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(4,392)</w:t>
            </w:r>
          </w:p>
        </w:tc>
        <w:tc>
          <w:tcPr>
            <w:tcW w:w="14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Partnership Revenue</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Partnership revenue decreased by $667,000, or 100%, in the three months ended June 30, 2026 from $667,000 for the three months ended June 30, 2025. Partnership revenue related to the recognition of the combined performance obligation for the license granted to Terumo and the ongoing research and development services over the estimated performance period for the Virtue SAB coronary ISR indication, using a proportional performance model, based on the costs incurred relative to the total estimated costs of the research and development services. Prior to the termination of the Terumo Agreement, as of each quarterly reporting date, we evaluated our estimates of the total costs expected to be incurred through the completion of the combined performance obligation and updated our estimates as necessary. On October 24, 2025, we entered the Termination and ROFR Agreement, which superseded and terminated the Terumo Agreement, and we no longer have any performance obligations under the Terumo Agreement.</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For the three months ended June 30, 2025, the expenses incurred related to the Terumo Agreement were $3.3 million. The estimated total costs associated with the Terumo Agreement through completion as of June 30, 2025 were similar compared to the estimates as of March 31,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Product Revenue</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Product revenue decreased by $81,000, or approximately 48%, to $88,000 in the three months ended June 30, 2026 from $169,000 for the three months ended June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Product revenue primarily consisted of the sale of FreeHold Duo and Trio intracorporeal organ retractors and revenue is recognized when product is shipped to customers. The decrease in product revenue was due to a decrease in the purchase volume. There were no changes to the per unit sale price in either period between the periods presented.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Cost of Product Revenue</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Cost of product revenue decreased by $21,000, or approximately 46%, to $25,000 in the three months ended June 30, 2026 from $46,000 for the three months ended June 30, 2025. The decrease was primarily due to lower sales volume of FreeHold Duo and Trio intracorporeal organ retractors.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our research and development expenses for the three months ended June 30, 2026 and 2025 (in thousands):</w:t>
      </w:r>
    </w:p>
    <w:tbl>
      <w:tblPr>
        <w:tblW w:w="7221" w:type="dxa"/>
        <w:jc w:val="left"/>
        <w:tblInd w:w="0" w:type="dxa"/>
        <w:tblLayout w:type="fixed"/>
        <w:tblCellMar>
          <w:top w:w="0" w:type="dxa"/>
          <w:left w:w="0" w:type="dxa"/>
          <w:bottom w:w="0" w:type="dxa"/>
          <w:right w:w="0" w:type="dxa"/>
        </w:tblCellMar>
      </w:tblPr>
      <w:tblGrid>
        <w:gridCol w:w="3631"/>
        <w:gridCol w:w="346"/>
        <w:gridCol w:w="109"/>
        <w:gridCol w:w="109"/>
        <w:gridCol w:w="109"/>
        <w:gridCol w:w="109"/>
        <w:gridCol w:w="109"/>
        <w:gridCol w:w="346"/>
        <w:gridCol w:w="222"/>
        <w:gridCol w:w="712"/>
        <w:gridCol w:w="364"/>
        <w:gridCol w:w="222"/>
        <w:gridCol w:w="833"/>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305685" cy="175260"/>
                      <wp:effectExtent l="0" t="0" r="0" b="0"/>
                      <wp:wrapNone/>
                      <wp:docPr id="312" name="Frame311"/>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9215" cy="175260"/>
                      <wp:effectExtent l="0" t="0" r="0" b="0"/>
                      <wp:wrapNone/>
                      <wp:docPr id="314" name="Frame3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9215" cy="175260"/>
                      <wp:effectExtent l="0" t="0" r="0" b="0"/>
                      <wp:wrapNone/>
                      <wp:docPr id="315" name="Frame3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9215" cy="175260"/>
                      <wp:effectExtent l="0" t="0" r="0" b="0"/>
                      <wp:wrapNone/>
                      <wp:docPr id="316" name="Frame3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9215" cy="175260"/>
                      <wp:effectExtent l="0" t="0" r="0" b="0"/>
                      <wp:wrapNone/>
                      <wp:docPr id="317" name="Frame3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9215" cy="175260"/>
                      <wp:effectExtent l="0" t="0" r="0" b="0"/>
                      <wp:wrapNone/>
                      <wp:docPr id="318" name="Frame3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40970" cy="175260"/>
                      <wp:effectExtent l="0" t="0" r="0" b="0"/>
                      <wp:wrapNone/>
                      <wp:docPr id="320" name="Frame31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52120" cy="175260"/>
                      <wp:effectExtent l="0" t="0" r="0" b="0"/>
                      <wp:wrapNone/>
                      <wp:docPr id="321" name="Frame320"/>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31140" cy="175260"/>
                      <wp:effectExtent l="0" t="0" r="0" b="0"/>
                      <wp:wrapNone/>
                      <wp:docPr id="322" name="Frame321"/>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40970" cy="175260"/>
                      <wp:effectExtent l="0" t="0" r="0" b="0"/>
                      <wp:wrapNone/>
                      <wp:docPr id="323" name="Frame322"/>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28955" cy="175260"/>
                      <wp:effectExtent l="0" t="0" r="0" b="0"/>
                      <wp:wrapNone/>
                      <wp:docPr id="324" name="Frame323"/>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3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4" w:type="dxa"/>
            <w:tcBorders/>
            <w:vAlign w:val="center"/>
          </w:tcPr>
          <w:p>
            <w:pPr>
              <w:pStyle w:val="TableContents"/>
              <w:bidi w:val="0"/>
              <w:spacing w:before="0" w:after="0"/>
              <w:ind w:left="0" w:right="0" w:hanging="0"/>
              <w:jc w:val="center"/>
              <w:rPr/>
            </w:pPr>
            <w:r>
              <w:rPr/>
              <w:t>  ​ ​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and consulting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8,166</w:t>
            </w:r>
          </w:p>
        </w:tc>
        <w:tc>
          <w:tcPr>
            <w:tcW w:w="364"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6,542</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Non-clinical development costs</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3,464</w:t>
            </w:r>
          </w:p>
        </w:tc>
        <w:tc>
          <w:tcPr>
            <w:tcW w:w="364"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4,678</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Clinical development costs</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4,960</w:t>
            </w:r>
          </w:p>
        </w:tc>
        <w:tc>
          <w:tcPr>
            <w:tcW w:w="364"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research and development expenses</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16,590</w:t>
            </w:r>
          </w:p>
        </w:tc>
        <w:tc>
          <w:tcPr>
            <w:tcW w:w="364"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13,853</w:t>
            </w:r>
          </w:p>
        </w:tc>
      </w:tr>
    </w:tbl>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Research and development expenses increased by $2.7 million, or approximately 20%, to $16.6 million for the three months ended June 30, 2026, from $13.9 million for the three months ended June 30, 2025. This is primarily due to an increase in support of ongoing work to advance the BACKBEAT Trial and the Virtue Trial. The increase included an increase of $2.3 million in clinical development costs and an increase in personnel-related expenses of $1.8 million due to increased headcount and consulting costs, partially offset by a decrease of $1.2 million in non-clinical development costs associated with research and development program costs, supplies, and testing.  ​</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 total research and development expenses summarized above include $3.3 million for the three months ended June 30, 2025 related to the Terumo Agreement, which was terminated in October 2025.</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Selling, General and Administrative Expenses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Selling, general and administrative expenses decreased by $435,000, or approximately 7%, to $5.8 million for the three months ended June 30, 2026, from $6.3 million of expense for the three months ended June 30, 2025. The decrease primarily resulted from a decrease of $557,000 in stock-based compensation, partially offset by an increase of $120,000 in accounting, finance, and legal expenses.</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Interest Expense, Net</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Interest expense, net increased by $1.7 million, or approximately 4811%, to $1.8 million of net interest expense for the three months ended June 30, 2026, from $36,000 of net interest expense for the three months ended June 30, 2025. The net interest expense in the 2026 period consisted primarily of monthly interest expense resulting from the 2024 LSA, the Medtronic Note and the Royalty Purchase Agreement partially offset by interest earned from marketable securities. The net interest expense in the 2025 period consisted primarily of monthly interest expense resulting from the 2024 LSA partially offset by interest earned from marketable securities.</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Change in the fair value of derivative liability</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The derivative liability of the Series A Preferred Stock was remeasured to a fair value of $2.5 million as of June 30, 2026. We recognized a loss of $324,000 for the three months ended June 30, 2026 primarily due to changes in the fair value inputs and assumptions used in the valuation model since the measurement at March 31, 2026.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Gain on Sale of Strategic Investments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On January 9, 2026, Haemonetics Corporation, a global medical technology company focused on delivering innovative solutions designed to improve patient outcomes, announced its acquisition of Vivasure. In connection with the closing of the transaction, we are eligible to receive up to approximately $10.7 million of proceeds in 2026 associated with the transaction. In January, we received the initial upfront payment of $4.7 million and an additional $45,000 during the three months ended June 30, 2026. The remainder may be received in 2026 based on the achievement of a milestone. For the three months ended June 30, 2026, we recognized a gain on the sale of strategic investments of $45,000.</w:t>
      </w:r>
    </w:p>
    <w:p>
      <w:pPr>
        <w:pStyle w:val="TextBody"/>
        <w:bidi w:val="0"/>
        <w:spacing w:before="0" w:after="240"/>
        <w:ind w:left="0" w:right="0" w:hanging="0"/>
        <w:jc w:val="both"/>
        <w:rPr>
          <w:rFonts w:ascii="Times New Roman;Times;serif" w:hAnsi="Times New Roman;Times;serif"/>
          <w:b/>
          <w:sz w:val="20"/>
        </w:rPr>
      </w:pPr>
      <w:bookmarkStart w:id="1221" w:name="_ad96c5b0_bc78_4117_9129_754677016f54"/>
      <w:bookmarkEnd w:id="1221"/>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Overview</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From inception through June 30, 2026, we have incurred significant operating losses and negative cash flows from our operations. Our net losses were $44.4 million and $38.1 million for the six months ended June 30, 2026 and 2025, respectively. As of June 30, 2026, we had an accumulated deficit of $407.0 million. We have funded our operations primarily through the issuance of our common stock, convertible preferred stock, and warrants, as well as proceeds from the Business Combination, the prior Terumo Agreement and the Termination and ROFR Agreement, borrowings under debt arrangements, the sale of future revenues, the sale of strategic investments, and, to a lesser extent, revenue from FreeHold products. On January 9, 2026, Haemonetics closed on an acquisition of Vivasure pursuant to which we are eligible to receive up to $10.7 million of proceeds in 2026 made up of approximately $4.8 million already received and approximately $5.9 million in a first milestone payment expected later this year. We had $110.0 million in cash and cash equivalents and marketable securities at June 30, 2026, comprised of $20.5 million in cash and cash equivalents and $89.5 million in marketable securities. Cash and cash equivalents consisted primarily of bank deposits and money market funds while short-term marketable securities consisted primarily of our investments in corporate and government debt securities. </w:t>
      </w:r>
    </w:p>
    <w:p>
      <w:pPr>
        <w:pStyle w:val="TextBody"/>
        <w:pBdr/>
        <w:bidi w:val="0"/>
        <w:spacing w:before="0" w:after="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Funding Requirements</w:t>
      </w:r>
    </w:p>
    <w:p>
      <w:pPr>
        <w:pStyle w:val="TextBody"/>
        <w:pBdr/>
        <w:shd w:fill="FFFFFF" w:val="clear"/>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We intend to prioritize spending on our two flagship product candidates and expect operating expenses to increase accordingly as we focus on continued execution of the BACKBEAT Trial for AVIM Therapy and Virtue Trial for Virtue SAB. Expenses will primarily support clinical study costs as well as other research and development activities.</w:t>
      </w:r>
    </w:p>
    <w:p>
      <w:pPr>
        <w:pStyle w:val="TextBody"/>
        <w:pBdr/>
        <w:shd w:fill="FFFFFF" w:val="clear"/>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Based on internally prepared budget estimates that reflect our operating priorities, we anticipate that our cash and cash equivalents, and marketable securities are sufficient to fund our operations into the fourth quarter of 2027. The amount and timing of our future funding requirements may change from this current estimate and are dependent on many factors, including the cost and pace of execution of clinical studies and research and development activities, the strength of results from clinical studies and other research, development and manufacturing efforts. There are no assurances that any of these factors will be favorable to us, and we may need to seek additional sources of liquidity to meet our funding requirements earlier than current estimates, including the issuance of new equity, and/or other financing structures. In this regard, as of the date of this Quarterly Report on Form 10-Q, we may sell up to $92.4 million of shares of our common stock under the sales agreement (the “Sales Agreement”) we entered into with TD Securities (USA) LLC (“TD Cowen”) pursuant to which we may offer and sell, from time to time through TD Cowen, shares of our common stock by any method permitted by law and deemed to be an “at the market offering” as defined in Rule 415(a)(4) promulgated under the Securities Act.</w:t>
      </w:r>
    </w:p>
    <w:p>
      <w:pPr>
        <w:pStyle w:val="TextBody"/>
        <w:pBdr/>
        <w:shd w:fill="FFFFFF" w:val="clear"/>
        <w:bidi w:val="0"/>
        <w:spacing w:before="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Our future viability is dependent on our ability to raise additional capital to finance our operations. Our inability to raise capital as and when needed could have a negative impact on our financial condition and ability to pursue our business strategies. There can be no assurance that our current operating plan will be achieved or that additional funding will be available on terms acceptable to us, or at all. </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Pursuant to, among other things, contractual obligations entered into in connection with the Business Combination, we have registered the resale of approximately 18.6 million shares of our common stock pursuant to a registration statement filed with the SEC, which became effective on May 9, 2024 (the “Resale Registration Statement”). The sale of our common stock pursuant to the Resale Registration Statement may result in a decline in the value of our common stock, which may make it more difficult and more dilutive to the existing holders of our common stock to raise funds from the sale of our equity securities</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1222" w:name="_482db3df_32c0_4f0f_9068_83b2cdaab848"/>
      <w:bookmarkEnd w:id="1222"/>
      <w:r>
        <w:rPr>
          <w:rFonts w:ascii="Times New Roman;Times;serif" w:hAnsi="Times New Roman;Times;serif"/>
          <w:b/>
          <w:i/>
          <w:sz w:val="20"/>
        </w:rPr>
        <w:t>Cash Flows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our cash flow data for the periods indicated (in thousands):</w:t>
      </w:r>
    </w:p>
    <w:tbl>
      <w:tblPr>
        <w:tblW w:w="7621" w:type="dxa"/>
        <w:jc w:val="left"/>
        <w:tblInd w:w="0" w:type="dxa"/>
        <w:tblLayout w:type="fixed"/>
        <w:tblCellMar>
          <w:top w:w="0" w:type="dxa"/>
          <w:left w:w="0" w:type="dxa"/>
          <w:bottom w:w="0" w:type="dxa"/>
          <w:right w:w="0" w:type="dxa"/>
        </w:tblCellMar>
      </w:tblPr>
      <w:tblGrid>
        <w:gridCol w:w="4216"/>
        <w:gridCol w:w="346"/>
        <w:gridCol w:w="109"/>
        <w:gridCol w:w="109"/>
        <w:gridCol w:w="109"/>
        <w:gridCol w:w="109"/>
        <w:gridCol w:w="109"/>
        <w:gridCol w:w="109"/>
        <w:gridCol w:w="211"/>
        <w:gridCol w:w="796"/>
        <w:gridCol w:w="346"/>
        <w:gridCol w:w="211"/>
        <w:gridCol w:w="841"/>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677160" cy="175260"/>
                      <wp:effectExtent l="0" t="0" r="0" b="0"/>
                      <wp:wrapNone/>
                      <wp:docPr id="325" name="Frame324"/>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6"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9215" cy="175260"/>
                      <wp:effectExtent l="0" t="0" r="0" b="0"/>
                      <wp:wrapNone/>
                      <wp:docPr id="327" name="Frame3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9215" cy="175260"/>
                      <wp:effectExtent l="0" t="0" r="0" b="0"/>
                      <wp:wrapNone/>
                      <wp:docPr id="328" name="Frame3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9215" cy="175260"/>
                      <wp:effectExtent l="0" t="0" r="0" b="0"/>
                      <wp:wrapNone/>
                      <wp:docPr id="329" name="Frame3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9215" cy="175260"/>
                      <wp:effectExtent l="0" t="0" r="0" b="0"/>
                      <wp:wrapNone/>
                      <wp:docPr id="330" name="Frame3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9215" cy="175260"/>
                      <wp:effectExtent l="0" t="0" r="0" b="0"/>
                      <wp:wrapNone/>
                      <wp:docPr id="331" name="Frame3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9215" cy="175260"/>
                      <wp:effectExtent l="0" t="0" r="0" b="0"/>
                      <wp:wrapNone/>
                      <wp:docPr id="332" name="Frame3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3" name="Frame3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05460" cy="175260"/>
                      <wp:effectExtent l="0" t="0" r="0" b="0"/>
                      <wp:wrapNone/>
                      <wp:docPr id="334" name="Frame33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6" name="Frame3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34035" cy="175260"/>
                      <wp:effectExtent l="0" t="0" r="0" b="0"/>
                      <wp:wrapNone/>
                      <wp:docPr id="337" name="Frame33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(32,143)</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29,355</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decrease in cash and cash equivalents</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(3,512)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color w:val="231F20"/>
          <w:spacing w:val="-10"/>
          <w:sz w:val="20"/>
        </w:rPr>
      </w:pPr>
      <w:r>
        <w:rPr>
          <w:rFonts w:ascii="Times New Roman;Times;serif" w:hAnsi="Times New Roman;Times;serif"/>
          <w:b/>
          <w:color w:val="231F20"/>
          <w:spacing w:val="-10"/>
          <w:sz w:val="20"/>
        </w:rPr>
        <w:t>Comparison of the Six Months Ended June 30, 2026 and 2025</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Net Cash Flows from Operating Activities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Net cash used in operating activities for the six months ended June 30, 2026 was $41.5 million and primarily consisted of our net loss of $44.4 million and changes in net operating assets and liabilities of $3.6 million, partially offset by non-cash charges of $6.5 million. Our non-cash charges primarily consisted of stock-based compensation of $5.4 million, non-cash interest expense on liability related to the Royalty Purchase Agreement of $3.1 million and accrued interest expense on liability related to the note payable of $442,000, partially offset by the gain on the sale of strategic investments of $2.3 million. The net change in operating assets and liabilities was primarily due to a decrease in accounts payable, accrued expenses and other liabilities of $3.3 million and operating lease liabilities of $359,000. </w:t>
      </w:r>
    </w:p>
    <w:p>
      <w:pPr>
        <w:pStyle w:val="TextBody"/>
        <w:bidi w:val="0"/>
        <w:spacing w:before="0" w:after="240"/>
        <w:ind w:left="0" w:right="0" w:firstLine="360"/>
        <w:jc w:val="both"/>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Net cash used in operating activities for the six months ended June 30, 2025 was $32.1 million and primarily consisted of our net loss of $38.1 million and changes in net operating assets and liabilities of $632,000, partially offset by non-cash charges of $6.6 million. Our non-cash charges primarily consisted of stock-based compensation of $6.2 million, partially offset by $161,000 related to accretion and interest of marketable securities. The net change in operating assets and liabilities was primarily due to a decrease in deferred revenue of $1.4 million offset by a decrease in accounts payable, accrued expenses and other liabilities of $888,000.</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Net Cash Flows from Investing Activities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Net cash used in investing activities for the six months ended June 30, 2026 was $13.0 million, which primarily consisted of the purchase of $56.1 million of marketable securities partially offset by the sale of $38.8 million of marketable securities and the sale of strategic investments of $4.8 million. </w:t>
      </w:r>
    </w:p>
    <w:p>
      <w:pPr>
        <w:pStyle w:val="TextBody"/>
        <w:bidi w:val="0"/>
        <w:spacing w:before="0" w:after="240"/>
        <w:ind w:left="0" w:right="0" w:firstLine="360"/>
        <w:jc w:val="both"/>
        <w:rPr>
          <w:rFonts w:ascii="Times New Roman;Times;serif" w:hAnsi="Times New Roman;Times;serif"/>
          <w:b w:val="false"/>
          <w:i w:val="false"/>
          <w:caps w:val="false"/>
          <w:smallCaps w:val="false"/>
          <w:color w:val="231F20"/>
          <w:spacing w:val="-10"/>
          <w:sz w:val="20"/>
        </w:rPr>
      </w:pPr>
      <w:r>
        <w:rPr>
          <w:rFonts w:ascii="Times New Roman;Times;serif" w:hAnsi="Times New Roman;Times;serif"/>
          <w:b w:val="false"/>
          <w:i w:val="false"/>
          <w:caps w:val="false"/>
          <w:smallCaps w:val="false"/>
          <w:color w:val="231F20"/>
          <w:spacing w:val="-10"/>
          <w:sz w:val="20"/>
        </w:rPr>
        <w:t>Net cash provided by investing activities for the six months ended June 30, 2025 was $29.4 million, which primarily consisted of the sale of $32.4 million of marketable securities, partially offset by the purchase of $2.9 million of marketable securities.  </w:t>
      </w:r>
    </w:p>
    <w:p>
      <w:pPr>
        <w:pStyle w:val="TextBody"/>
        <w:bidi w:val="0"/>
        <w:spacing w:before="0" w:after="240"/>
        <w:ind w:left="0" w:right="0" w:hanging="0"/>
        <w:jc w:val="both"/>
        <w:rPr>
          <w:rFonts w:ascii="Times New Roman;Times;serif" w:hAnsi="Times New Roman;Times;serif"/>
          <w:b/>
          <w:i/>
          <w:color w:val="231F20"/>
          <w:spacing w:val="-10"/>
          <w:sz w:val="20"/>
        </w:rPr>
      </w:pPr>
      <w:r>
        <w:rPr>
          <w:rFonts w:ascii="Times New Roman;Times;serif" w:hAnsi="Times New Roman;Times;serif"/>
          <w:b/>
          <w:i/>
          <w:color w:val="231F20"/>
          <w:spacing w:val="-10"/>
          <w:sz w:val="20"/>
        </w:rPr>
        <w:t>Net Cash Flows from Financing Activities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Net cash provided by financing activities for the six months ended June 30, 2026 was $40.3 million, which primarily consisted of $20.0 million of proceeds from the Medtronic Term Loan, $15.0 million of proceeds from the royalty purchase agreement and $5.9 million of proceeds from the sale of our common stock pursuant to the Sales Agreement, partially offset by $616,000 used to settle taxes associated with restricted stock vesting.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Net cash used by financing activities of $724,000 for the six months ended June 30, 2025 was primarily due to $815,000 used to settle taxes associated with restricted stock vesting, partially offset by proceeds of $91,000 related to the exercise of stock options.</w:t>
      </w:r>
      <w:r>
        <w:rPr>
          <w:rFonts w:ascii="Times New Roman;Times;serif" w:hAnsi="Times New Roman;Times;serif"/>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color w:val="231F20"/>
          <w:spacing w:val="-10"/>
          <w:sz w:val="20"/>
        </w:rPr>
      </w:pPr>
      <w:bookmarkStart w:id="1223" w:name="_52475e64_3c76_488f_b9c0_669109d21501"/>
      <w:bookmarkEnd w:id="1223"/>
      <w:r>
        <w:rPr>
          <w:rFonts w:ascii="Times New Roman;Times;serif" w:hAnsi="Times New Roman;Times;serif"/>
          <w:b/>
          <w:color w:val="231F20"/>
          <w:spacing w:val="-10"/>
          <w:sz w:val="20"/>
        </w:rPr>
        <w:t>Contractual Obligations and Commitments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our contractual obligations and commitments as of June 30, 2026 (in thousands):</w:t>
      </w:r>
    </w:p>
    <w:tbl>
      <w:tblPr>
        <w:tblW w:w="9480" w:type="dxa"/>
        <w:jc w:val="left"/>
        <w:tblInd w:w="0" w:type="dxa"/>
        <w:tblLayout w:type="fixed"/>
        <w:tblCellMar>
          <w:top w:w="0" w:type="dxa"/>
          <w:left w:w="0" w:type="dxa"/>
          <w:bottom w:w="0" w:type="dxa"/>
          <w:right w:w="0" w:type="dxa"/>
        </w:tblCellMar>
      </w:tblPr>
      <w:tblGrid>
        <w:gridCol w:w="3391"/>
        <w:gridCol w:w="346"/>
        <w:gridCol w:w="211"/>
        <w:gridCol w:w="676"/>
        <w:gridCol w:w="346"/>
        <w:gridCol w:w="211"/>
        <w:gridCol w:w="571"/>
        <w:gridCol w:w="346"/>
        <w:gridCol w:w="211"/>
        <w:gridCol w:w="676"/>
        <w:gridCol w:w="346"/>
        <w:gridCol w:w="211"/>
        <w:gridCol w:w="676"/>
        <w:gridCol w:w="346"/>
        <w:gridCol w:w="287"/>
        <w:gridCol w:w="629"/>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53285" cy="175260"/>
                      <wp:effectExtent l="0" t="0" r="0" b="0"/>
                      <wp:wrapNone/>
                      <wp:docPr id="338" name="Frame337"/>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9"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340"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29260" cy="175260"/>
                      <wp:effectExtent l="0" t="0" r="0" b="0"/>
                      <wp:wrapNone/>
                      <wp:docPr id="341" name="Frame34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260"/>
                      <wp:effectExtent l="0" t="0" r="0" b="0"/>
                      <wp:wrapNone/>
                      <wp:docPr id="342"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3"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362585" cy="175260"/>
                      <wp:effectExtent l="0" t="0" r="0" b="0"/>
                      <wp:wrapNone/>
                      <wp:docPr id="344" name="Frame34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5"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3985" cy="175260"/>
                      <wp:effectExtent l="0" t="0" r="0" b="0"/>
                      <wp:wrapNone/>
                      <wp:docPr id="346" name="Frame3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29260" cy="175260"/>
                      <wp:effectExtent l="0" t="0" r="0" b="0"/>
                      <wp:wrapNone/>
                      <wp:docPr id="347" name="Frame3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8" name="Frame3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3985" cy="175260"/>
                      <wp:effectExtent l="0" t="0" r="0" b="0"/>
                      <wp:wrapNone/>
                      <wp:docPr id="349" name="Frame3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29260" cy="175260"/>
                      <wp:effectExtent l="0" t="0" r="0" b="0"/>
                      <wp:wrapNone/>
                      <wp:docPr id="350" name="Frame3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51"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82245" cy="175260"/>
                      <wp:effectExtent l="0" t="0" r="0" b="0"/>
                      <wp:wrapNone/>
                      <wp:docPr id="352" name="Frame351"/>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399415" cy="175260"/>
                      <wp:effectExtent l="0" t="0" r="0" b="0"/>
                      <wp:wrapNone/>
                      <wp:docPr id="353" name="Frame352"/>
                      <a:graphic xmlns:a="http://schemas.openxmlformats.org/drawingml/2006/main">
                        <a:graphicData uri="http://schemas.microsoft.com/office/word/2010/wordprocessingShape">
                          <wps:wsp>
                            <wps:cNvSpPr txBox="1"/>
                            <wps:spPr>
                              <a:xfrm>
                                <a:off x="0" y="0"/>
                                <a:ext cx="399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74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Payments Due by Period</w: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3-5 </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More than</w: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 Year</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0"/>
              <w:ind w:left="0" w:right="0" w:hanging="0"/>
              <w:jc w:val="center"/>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 Years</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obligations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9" w:type="dxa"/>
            <w:tcBorders/>
            <w:shd w:fill="CCEEFF" w:val="clear"/>
            <w:vAlign w:val="center"/>
          </w:tcPr>
          <w:p>
            <w:pPr>
              <w:pStyle w:val="TableContents"/>
              <w:bidi w:val="0"/>
              <w:spacing w:before="0" w:after="0"/>
              <w:ind w:left="0" w:right="0" w:hanging="0"/>
              <w:jc w:val="right"/>
              <w:rPr/>
            </w:pPr>
            <w:r>
              <w:rPr/>
              <w:t>—</w:t>
            </w:r>
          </w:p>
        </w:tc>
      </w:tr>
      <w:tr>
        <w:trPr/>
        <w:tc>
          <w:tcPr>
            <w:tcW w:w="33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2024 LSA Debt, principal and interest</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19,151</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17,706</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right"/>
              <w:rPr/>
            </w:pPr>
            <w:r>
              <w:rPr/>
              <w:t>—</w:t>
            </w:r>
          </w:p>
        </w:tc>
      </w:tr>
      <w:tr>
        <w:trPr/>
        <w:tc>
          <w:tcPr>
            <w:tcW w:w="33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Medtronic Debt, principal and interest</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31,000</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31,000</w:t>
            </w:r>
          </w:p>
        </w:tc>
        <w:tc>
          <w:tcPr>
            <w:tcW w:w="346" w:type="dxa"/>
            <w:tcBorders/>
            <w:shd w:fill="CCEEFF" w:val="clear"/>
            <w:vAlign w:val="center"/>
          </w:tcPr>
          <w:p>
            <w:pPr>
              <w:pStyle w:val="TableContents"/>
              <w:bidi w:val="0"/>
              <w:spacing w:before="0" w:after="0"/>
              <w:ind w:left="0" w:right="0" w:hanging="0"/>
              <w:jc w:val="center"/>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51,586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18,243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31,000</w:t>
            </w:r>
          </w:p>
        </w:tc>
        <w:tc>
          <w:tcPr>
            <w:tcW w:w="346"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9" w:type="dxa"/>
            <w:tcBorders>
              <w:bottom w:val="double" w:sz="6" w:space="0" w:color="000000"/>
            </w:tcBorders>
            <w:tcMar>
              <w:bottom w:w="28" w:type="dxa"/>
            </w:tcMar>
            <w:vAlign w:val="center"/>
          </w:tcPr>
          <w:p>
            <w:pPr>
              <w:pStyle w:val="TableContents"/>
              <w:bidi w:val="0"/>
              <w:spacing w:before="0" w:after="0"/>
              <w:ind w:left="0" w:right="7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pacing w:val="-10"/>
                <w:sz w:val="16"/>
              </w:rPr>
              <w:t>In November 2024, we entered into the 2024 LSA with Hercules, as amended. The 2024 LSA will mature in November 2028. Refer to Note 14 to the Consolidated Financial Statements for additional information</w:t>
            </w:r>
            <w:r>
              <w:rPr>
                <w:rFonts w:ascii="Times New Roman;Times;serif" w:hAnsi="Times New Roman;Times;serif"/>
                <w:b w:val="false"/>
                <w:i w:val="false"/>
                <w:caps w:val="false"/>
                <w:smallCaps w:val="false"/>
                <w:sz w:val="16"/>
              </w:rPr>
              <w:t xml:space="preserve">. </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 xml:space="preserve">In July 2025, we entered into the Medtronic Loan Agreement which will mature in April 2031. </w:t>
            </w:r>
            <w:r>
              <w:rPr>
                <w:rFonts w:ascii="Times New Roman;Times;serif" w:hAnsi="Times New Roman;Times;serif"/>
                <w:b w:val="false"/>
                <w:i w:val="false"/>
                <w:caps w:val="false"/>
                <w:smallCaps w:val="false"/>
                <w:color w:val="231F20"/>
                <w:spacing w:val="-10"/>
                <w:sz w:val="16"/>
              </w:rPr>
              <w:t>Refer to Note 14 to the Consolidated Financial Statements for additional information</w:t>
            </w:r>
            <w:r>
              <w:rPr>
                <w:rFonts w:ascii="Times New Roman;Times;serif" w:hAnsi="Times New Roman;Times;serif"/>
                <w:b w:val="false"/>
                <w:i w:val="false"/>
                <w:caps w:val="false"/>
                <w:smallCaps w:val="false"/>
                <w:sz w:val="16"/>
              </w:rPr>
              <w:t>.</w:t>
            </w:r>
          </w:p>
        </w:tc>
      </w:tr>
    </w:tbl>
    <w:p>
      <w:pPr>
        <w:pStyle w:val="TextBody"/>
        <w:bidi w:val="0"/>
        <w:spacing w:before="24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We enter into agreements in the normal course of business with clinical research organizations for work related to clinical trials and with vendors for preclinical studies and other services and products for operating purposes, which are cancelable at any time by us, generally upon 30 days prior written notice. These payments are not included in the above table of contractual obligations and commitments</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b/>
          <w:color w:val="231F20"/>
          <w:spacing w:val="-10"/>
          <w:sz w:val="20"/>
        </w:rPr>
      </w:pPr>
      <w:bookmarkStart w:id="1224" w:name="_d39ddc67_535f_4fd0_ba77_2c03be1de475"/>
      <w:bookmarkEnd w:id="1224"/>
      <w:r>
        <w:rPr>
          <w:rFonts w:ascii="Times New Roman;Times;serif" w:hAnsi="Times New Roman;Times;serif"/>
          <w:b/>
          <w:color w:val="231F20"/>
          <w:spacing w:val="-10"/>
          <w:sz w:val="20"/>
        </w:rPr>
        <w:t>Critical Accounting Policies and Estimates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Our financial statements are prepared in accordance with U.S. GAAP. The preparation of the financial statements in conformity with U.S. GAAP requires our management to make a number of estimates and assumptions relating to the reported amounts of assets and liabilities, the disclosure of contingent assets and liabilities at the date of the financial statements and the reported amounts of revenue and expenses during the period. We evaluate our significant estimates on an ongoing basis, including estimates related to the total costs expected to be incurred though the completion of the combined performance obligation of the Terumo Agreement (prior to its termination in October 2025), changes in the fair value of the derivative liability, effective interest expense related to the Royalty Purchase Agreement, research and development prepayments, accruals and related expenses and stock-based compensation.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Our critical accounting policies are described in the MD&amp;A section of our Form 10-K for the year ended December 31, 2025 filed with the SEC on March 12, 2026. There have been no material changes to our critical accounting policies during the six months ended June 30, 2026</w:t>
      </w:r>
      <w:r>
        <w:rPr>
          <w:rFonts w:ascii="Times New Roman;Times;serif" w:hAnsi="Times New Roman;Times;serif"/>
          <w:i/>
          <w:color w:val="231F20"/>
          <w:spacing w:val="-10"/>
          <w:sz w:val="20"/>
        </w:rPr>
        <w:t>.</w:t>
      </w:r>
    </w:p>
    <w:p>
      <w:pPr>
        <w:pStyle w:val="TextBody"/>
        <w:bidi w:val="0"/>
        <w:spacing w:before="0" w:after="240"/>
        <w:ind w:left="0" w:right="0" w:hanging="0"/>
        <w:jc w:val="both"/>
        <w:rPr>
          <w:rFonts w:ascii="Times New Roman;Times;serif" w:hAnsi="Times New Roman;Times;serif"/>
          <w:b/>
          <w:color w:val="231F20"/>
          <w:spacing w:val="-10"/>
          <w:sz w:val="20"/>
        </w:rPr>
      </w:pPr>
      <w:bookmarkStart w:id="1225" w:name="_5d4a0249_9918_4dea_9e33_54fc91f20e81"/>
      <w:bookmarkEnd w:id="1225"/>
      <w:r>
        <w:rPr>
          <w:rFonts w:ascii="Times New Roman;Times;serif" w:hAnsi="Times New Roman;Times;serif"/>
          <w:b/>
          <w:color w:val="231F20"/>
          <w:spacing w:val="-10"/>
          <w:sz w:val="20"/>
        </w:rPr>
        <w:t>Recently Issued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A description of recently issued accounting pronouncements that may potentially impact our financial position and results of operations is disclosed in Note 2 – “</w:t>
      </w:r>
      <w:r>
        <w:rPr>
          <w:rFonts w:ascii="Times New Roman;Times;serif" w:hAnsi="Times New Roman;Times;serif"/>
          <w:i/>
          <w:color w:val="231F20"/>
          <w:spacing w:val="-10"/>
          <w:sz w:val="20"/>
        </w:rPr>
        <w:t>Summary of Significant Accounting Policies,”</w:t>
      </w:r>
      <w:r>
        <w:rPr>
          <w:rFonts w:ascii="Times New Roman;Times;serif" w:hAnsi="Times New Roman;Times;serif"/>
          <w:color w:val="231F20"/>
          <w:spacing w:val="-10"/>
          <w:sz w:val="20"/>
        </w:rPr>
        <w:t xml:space="preserve"> to the Consolidated Financial Statements.</w:t>
      </w:r>
    </w:p>
    <w:p>
      <w:pPr>
        <w:pStyle w:val="TextBody"/>
        <w:bidi w:val="0"/>
        <w:spacing w:before="0" w:after="240"/>
        <w:ind w:left="0" w:right="0" w:hanging="0"/>
        <w:jc w:val="both"/>
        <w:rPr>
          <w:rFonts w:ascii="Times New Roman;Times;serif" w:hAnsi="Times New Roman;Times;serif"/>
          <w:b/>
          <w:color w:val="231F20"/>
          <w:spacing w:val="-10"/>
          <w:sz w:val="20"/>
        </w:rPr>
      </w:pPr>
      <w:r>
        <w:rPr>
          <w:rFonts w:ascii="Times New Roman;Times;serif" w:hAnsi="Times New Roman;Times;serif"/>
          <w:b/>
          <w:color w:val="231F20"/>
          <w:spacing w:val="-10"/>
          <w:sz w:val="20"/>
        </w:rPr>
        <w:t>Smaller Reporting Company Status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We are a “smaller reporting company” as defined in Rule 12b-2 promulgated under the Securities Exchange Act of 1934, as amended (the “Exchange Act”). As a smaller reporting company, we will continue to not be required to comply with the auditor attestation requirements of Section 404(a) of the Sarbanes-Oxley Act of 2002 as long as (a) our annual revenue is less than $100.0 million during the most recently completed fiscal year and (b) the market value of our voting and non-voting common stock held by non-affiliates is less than $700.0 million as of the last business day of the second quarter of such fiscal year. We may also take advantage of certain reduced disclosure requirements as a smaller reporting company, including, but not limited to, reduced disclosure obligations regarding executive compensation in our periodic reports and proxy statements. We will be able to take advantage of these scaled disclosures for so long as (i) the market value of our voting and non-voting common stock held by non-affiliates is less than $250.0 million measured on the last business day of our second fiscal quarter, or (ii)(a) our annual revenue is less than $100.0 million during the most recently completed fiscal year and (b) the market value of our voting and non-voting common stock held by non-affiliates is less than $700.0 million as of the last business day of the second quarter of such fiscal year</w:t>
      </w:r>
      <w:r>
        <w:rPr>
          <w:rFonts w:ascii="Times New Roman;Times;serif" w:hAnsi="Times New Roman;Times;serif"/>
          <w:spacing w:val="-10"/>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color w:val="231F20"/>
          <w:spacing w:val="-10"/>
          <w:sz w:val="20"/>
        </w:rPr>
      </w:pPr>
      <w:bookmarkStart w:id="1226" w:name="Item3QuantitativeandQualitativeDisclosur"/>
      <w:bookmarkStart w:id="1227" w:name="_0298b944_f2e3_449a_abc7_d9c5f10a0f64"/>
      <w:bookmarkEnd w:id="1226"/>
      <w:bookmarkEnd w:id="1227"/>
      <w:r>
        <w:rPr>
          <w:rFonts w:ascii="Times New Roman;Times;serif" w:hAnsi="Times New Roman;Times;serif"/>
          <w:b/>
          <w:color w:val="231F20"/>
          <w:spacing w:val="-10"/>
          <w:sz w:val="20"/>
        </w:rPr>
        <w:t>Item 3. Quantitative and Qualitative Disclosures About Market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Not applicable</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b/>
          <w:color w:val="231F20"/>
          <w:spacing w:val="-10"/>
          <w:sz w:val="20"/>
        </w:rPr>
      </w:pPr>
      <w:bookmarkStart w:id="1228" w:name="Item4ControlsandProcedures_214683"/>
      <w:bookmarkStart w:id="1229" w:name="_e7289519_2c1c_4233_abb8_83da4562e436"/>
      <w:bookmarkEnd w:id="1228"/>
      <w:bookmarkEnd w:id="1229"/>
      <w:r>
        <w:rPr>
          <w:rFonts w:ascii="Times New Roman;Times;serif" w:hAnsi="Times New Roman;Times;serif"/>
          <w:b/>
          <w:color w:val="231F20"/>
          <w:spacing w:val="-10"/>
          <w:sz w:val="20"/>
        </w:rPr>
        <w:t>Item 4. Controls and Procedures.</w:t>
      </w:r>
    </w:p>
    <w:p>
      <w:pPr>
        <w:pStyle w:val="TextBody"/>
        <w:bidi w:val="0"/>
        <w:spacing w:before="0" w:after="240"/>
        <w:ind w:left="0" w:right="0" w:hanging="0"/>
        <w:jc w:val="both"/>
        <w:rPr>
          <w:rFonts w:ascii="Times New Roman;Times;serif" w:hAnsi="Times New Roman;Times;serif"/>
          <w:i/>
          <w:color w:val="231F20"/>
          <w:spacing w:val="-10"/>
          <w:sz w:val="20"/>
        </w:rPr>
      </w:pPr>
      <w:r>
        <w:rPr>
          <w:rFonts w:ascii="Times New Roman;Times;serif" w:hAnsi="Times New Roman;Times;serif"/>
          <w:i/>
          <w:color w:val="231F20"/>
          <w:spacing w:val="-10"/>
          <w:sz w:val="20"/>
        </w:rPr>
        <w:t>Evaluation of Disclosure Controls and Procedures.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We maintain “disclosure controls and procedures” (as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for timely decisions regarding required disclosure.</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Our management, with the participation of our Chief Executive Officer and our Chief Financial Officer, evaluated the effectiveness of our disclosure controls and procedures as of June 30, 2026, the end of the period covered by this Quarterly Report. Based on this evaluation, our Chief Executive Officer and Chief Financial Officer concluded that our disclosure controls and procedures were effective as of June 30, 2026.</w:t>
      </w:r>
    </w:p>
    <w:p>
      <w:pPr>
        <w:pStyle w:val="TextBody"/>
        <w:bidi w:val="0"/>
        <w:spacing w:before="0" w:after="240"/>
        <w:ind w:left="0" w:right="0" w:hanging="0"/>
        <w:jc w:val="both"/>
        <w:rPr>
          <w:rFonts w:ascii="Times New Roman;Times;serif" w:hAnsi="Times New Roman;Times;serif"/>
          <w:i/>
          <w:color w:val="231F20"/>
          <w:spacing w:val="-10"/>
          <w:sz w:val="20"/>
        </w:rPr>
      </w:pPr>
      <w:r>
        <w:rPr>
          <w:rFonts w:ascii="Times New Roman;Times;serif" w:hAnsi="Times New Roman;Times;serif"/>
          <w:i/>
          <w:color w:val="231F20"/>
          <w:spacing w:val="-10"/>
          <w:sz w:val="20"/>
        </w:rPr>
        <w:t>Changes in Internal Control Over Financial Reporting.</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There was no change in our internal control over financial reporting (as defined in Rules 13a-15(f) and 15d-15(f) under the Exchange Act) that occurred during the fiscal quarter ended June 30, 2026 that has materially affected, or is reasonably likely to materially affect, our internal control over financial reporting.</w:t>
      </w:r>
    </w:p>
    <w:p>
      <w:pPr>
        <w:pStyle w:val="TextBody"/>
        <w:bidi w:val="0"/>
        <w:spacing w:before="0" w:after="240"/>
        <w:ind w:left="0" w:right="0" w:hanging="0"/>
        <w:jc w:val="both"/>
        <w:rPr>
          <w:rFonts w:ascii="Times New Roman;Times;serif" w:hAnsi="Times New Roman;Times;serif"/>
          <w:i/>
          <w:color w:val="231F20"/>
          <w:spacing w:val="-10"/>
          <w:sz w:val="20"/>
        </w:rPr>
      </w:pPr>
      <w:r>
        <w:rPr>
          <w:rFonts w:ascii="Times New Roman;Times;serif" w:hAnsi="Times New Roman;Times;serif"/>
          <w:i/>
          <w:color w:val="231F20"/>
          <w:spacing w:val="-10"/>
          <w:sz w:val="20"/>
        </w:rPr>
        <w:t>Inherent Limitation on the Effectiveness of Internal Control.</w:t>
      </w:r>
    </w:p>
    <w:p>
      <w:pPr>
        <w:pStyle w:val="TextBody"/>
        <w:bidi w:val="0"/>
        <w:spacing w:before="0" w:after="24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pStyle w:val="TextBody"/>
        <w:bidi w:val="0"/>
        <w:spacing w:before="0" w:after="240"/>
        <w:ind w:left="0" w:right="0" w:hanging="0"/>
        <w:jc w:val="center"/>
        <w:rPr>
          <w:rFonts w:ascii="Times New Roman;Times;serif" w:hAnsi="Times New Roman;Times;serif"/>
          <w:b/>
          <w:sz w:val="20"/>
        </w:rPr>
      </w:pPr>
      <w:bookmarkStart w:id="1230" w:name="PARTIIOTHERINFORMATION_491535"/>
      <w:bookmarkStart w:id="1231" w:name="_be3481b0_9384_4ba5_bfdc_ba190d8091b3"/>
      <w:bookmarkEnd w:id="1230"/>
      <w:bookmarkEnd w:id="1231"/>
      <w:r>
        <w:rPr>
          <w:rFonts w:ascii="Times New Roman;Times;serif" w:hAnsi="Times New Roman;Times;serif"/>
          <w:b/>
          <w:sz w:val="20"/>
        </w:rPr>
        <w:t>PART II—OTHER INFORMATION</w:t>
      </w:r>
    </w:p>
    <w:p>
      <w:pPr>
        <w:pStyle w:val="TextBody"/>
        <w:bidi w:val="0"/>
        <w:spacing w:before="0" w:after="240"/>
        <w:ind w:left="0" w:right="0" w:hanging="0"/>
        <w:jc w:val="both"/>
        <w:rPr>
          <w:rFonts w:ascii="Times New Roman;Times;serif" w:hAnsi="Times New Roman;Times;serif"/>
          <w:b/>
          <w:color w:val="231F20"/>
          <w:spacing w:val="-10"/>
          <w:sz w:val="20"/>
        </w:rPr>
      </w:pPr>
      <w:bookmarkStart w:id="1232" w:name="Item1LegalProceedings_728134"/>
      <w:bookmarkEnd w:id="1232"/>
      <w:r>
        <w:rPr>
          <w:rFonts w:ascii="Times New Roman;Times;serif" w:hAnsi="Times New Roman;Times;serif"/>
          <w:b/>
          <w:color w:val="231F20"/>
          <w:spacing w:val="-10"/>
          <w:sz w:val="20"/>
        </w:rPr>
        <w:t>Item 1.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31F20"/>
          <w:spacing w:val="-10"/>
          <w:sz w:val="20"/>
        </w:rPr>
        <w:t>From time to time, we may become involved in various claims and legal proceedings that arise in the ordinary course of our business. We are not currently a party to any material legal proceedings and are not aware of any pending or threatened legal proceeding against us that we believe would have a material adverse effect on our business, operating results or financial condition</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b/>
          <w:color w:val="231F20"/>
          <w:spacing w:val="-10"/>
          <w:sz w:val="20"/>
        </w:rPr>
      </w:pPr>
      <w:bookmarkStart w:id="1233" w:name="Item1ARiskFactors_444696"/>
      <w:bookmarkStart w:id="1234" w:name="_44f41bee_e427_4fe9_b441_9fa9e6c89adc"/>
      <w:bookmarkStart w:id="1235" w:name="_Item_1A._Risk"/>
      <w:bookmarkEnd w:id="1233"/>
      <w:bookmarkEnd w:id="1234"/>
      <w:bookmarkEnd w:id="1235"/>
      <w:r>
        <w:rPr>
          <w:rFonts w:ascii="Times New Roman;Times;serif" w:hAnsi="Times New Roman;Times;serif"/>
          <w:b/>
          <w:color w:val="231F20"/>
          <w:spacing w:val="-10"/>
          <w:sz w:val="20"/>
        </w:rPr>
        <w:t>Item 1A. Risk Factors.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color w:val="231F20"/>
          <w:spacing w:val="-10"/>
          <w:sz w:val="20"/>
        </w:rPr>
        <w:t>For information regarding factors that could affect our results of operations, financial condition and liquidity, see the risk factors discussed in Part I, Item 1A in the 2025 10-K. There have been no material changes to the risk factors previously disclosed in Part I, Item 1A in the 2025 10-K</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b/>
          <w:color w:val="231F20"/>
          <w:spacing w:val="-10"/>
          <w:sz w:val="20"/>
        </w:rPr>
      </w:pPr>
      <w:bookmarkStart w:id="1236" w:name="Item2UnregisteredSalesofEquitySecurities"/>
      <w:bookmarkStart w:id="1237" w:name="_1fc4259a_d610_44c8_b241_097d6c958788"/>
      <w:bookmarkEnd w:id="1236"/>
      <w:bookmarkEnd w:id="1237"/>
      <w:r>
        <w:rPr>
          <w:rFonts w:ascii="Times New Roman;Times;serif" w:hAnsi="Times New Roman;Times;serif"/>
          <w:b/>
          <w:color w:val="231F20"/>
          <w:spacing w:val="-10"/>
          <w:sz w:val="20"/>
        </w:rPr>
        <w:t>Item 2. Unregistered Sales of Equity Securities and Use of Proceeds.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238" w:name="Item3DefaultsUponSeniorSecurities_590897"/>
      <w:bookmarkStart w:id="1239" w:name="_5bd08e39_82a9_4c1a_a1ae_93bdba67ecbb"/>
      <w:bookmarkEnd w:id="1238"/>
      <w:bookmarkEnd w:id="1239"/>
      <w:r>
        <w:rPr>
          <w:rFonts w:ascii="Times New Roman;Times;serif" w:hAnsi="Times New Roman;Times;serif"/>
          <w:b/>
          <w:sz w:val="20"/>
        </w:rPr>
        <w:t>Item 3. Defaults Upon Senior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rFonts w:ascii="Times New Roman;Times;serif" w:hAnsi="Times New Roman;Times;serif"/>
          <w:b/>
          <w:sz w:val="20"/>
        </w:rPr>
      </w:pPr>
      <w:bookmarkStart w:id="1240" w:name="Item4MineSafetyDisclosures_710534"/>
      <w:bookmarkStart w:id="1241" w:name="_0924c39a_86e3_4082_85f7_8a64c20cca30"/>
      <w:bookmarkEnd w:id="1240"/>
      <w:bookmarkEnd w:id="1241"/>
      <w:r>
        <w:rPr>
          <w:rFonts w:ascii="Times New Roman;Times;serif" w:hAnsi="Times New Roman;Times;serif"/>
          <w:b/>
          <w:sz w:val="20"/>
        </w:rPr>
        <w:t>Item 4. Mine Safety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sz w:val="20"/>
        </w:rPr>
      </w:pPr>
      <w:bookmarkStart w:id="1242" w:name="Item5OtherInformation_169053"/>
      <w:bookmarkStart w:id="1243" w:name="_cd946842_ba60_4dbd_8490_7a3302863fad"/>
      <w:bookmarkEnd w:id="1242"/>
      <w:bookmarkEnd w:id="1243"/>
      <w:r>
        <w:rPr>
          <w:rFonts w:ascii="Times New Roman;Times;serif" w:hAnsi="Times New Roman;Times;serif"/>
          <w:b/>
          <w:sz w:val="20"/>
        </w:rPr>
        <w:t>Item 5. Other Information.</w:t>
      </w:r>
    </w:p>
    <w:p>
      <w:pPr>
        <w:pStyle w:val="TextBody"/>
        <w:bidi w:val="0"/>
        <w:spacing w:before="40" w:after="0"/>
        <w:ind w:left="0" w:right="0" w:hanging="0"/>
        <w:jc w:val="left"/>
        <w:rPr>
          <w:rFonts w:ascii="Times New Roman;Times;serif" w:hAnsi="Times New Roman;Times;serif"/>
          <w:b/>
          <w:i/>
          <w:color w:val="212529"/>
          <w:sz w:val="20"/>
        </w:rPr>
      </w:pPr>
      <w:r>
        <w:rPr>
          <w:rFonts w:ascii="Times New Roman;Times;serif" w:hAnsi="Times New Roman;Times;serif"/>
          <w:b/>
          <w:i/>
          <w:color w:val="212529"/>
          <w:sz w:val="20"/>
        </w:rPr>
        <w:t>Approval of Employee Stock Purchase Plan</w:t>
      </w:r>
    </w:p>
    <w:p>
      <w:pPr>
        <w:pStyle w:val="TextBody"/>
        <w:bidi w:val="0"/>
        <w:spacing w:before="40" w:after="0"/>
        <w:ind w:left="0" w:right="0" w:hanging="0"/>
        <w:jc w:val="left"/>
        <w:rPr>
          <w:color w:val="212529"/>
        </w:rPr>
      </w:pPr>
      <w:r>
        <w:rPr>
          <w:color w:val="212529"/>
        </w:rPr>
        <w:t>​</w:t>
      </w:r>
    </w:p>
    <w:p>
      <w:pPr>
        <w:pStyle w:val="TextBody"/>
        <w:bidi w:val="0"/>
        <w:spacing w:before="4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On June 23, 2026, we held our 2026 Annual Meeting of Stockholders (the “Annual Meeting”). At the Annual Meeting, our stockholders passed a proposal to approve the Orchestra BioMed Holdings, Inc. 2026 Employee Stock Purchase Plan (the “ESPP”). The ESPP was previously approved by our board of directors, subject to stockholder approval. </w:t>
      </w:r>
    </w:p>
    <w:p>
      <w:pPr>
        <w:pStyle w:val="TextBody"/>
        <w:bidi w:val="0"/>
        <w:spacing w:before="40" w:after="0"/>
        <w:ind w:left="0" w:right="0" w:firstLine="360"/>
        <w:jc w:val="both"/>
        <w:rPr>
          <w:color w:val="231F20"/>
          <w:spacing w:val="-10"/>
        </w:rPr>
      </w:pPr>
      <w:r>
        <w:rPr>
          <w:color w:val="231F20"/>
          <w:spacing w:val="-10"/>
        </w:rPr>
        <w:t>​</w:t>
      </w:r>
    </w:p>
    <w:p>
      <w:pPr>
        <w:pStyle w:val="TextBody"/>
        <w:bidi w:val="0"/>
        <w:spacing w:before="40" w:after="0"/>
        <w:ind w:left="0" w:right="0" w:firstLine="360"/>
        <w:jc w:val="both"/>
        <w:rPr/>
      </w:pPr>
      <w:r>
        <w:rPr>
          <w:rFonts w:ascii="Times New Roman;Times;serif" w:hAnsi="Times New Roman;Times;serif"/>
          <w:color w:val="231F20"/>
          <w:spacing w:val="-10"/>
          <w:sz w:val="20"/>
        </w:rPr>
        <w:t xml:space="preserve">A more detailed description regarding the ESPP is set forth in our definitive proxy statement for the Annual Meeting on Schedule 14A, which was filed with the SEC on April 29, 2026 (the “Proxy Statement”), under the heading entitled, </w:t>
      </w:r>
      <w:hyperlink r:id="rId3">
        <w:r>
          <w:rPr>
            <w:rStyle w:val="InternetLink"/>
            <w:rFonts w:ascii="Times New Roman;Times;serif" w:hAnsi="Times New Roman;Times;serif"/>
            <w:caps w:val="false"/>
            <w:smallCaps w:val="false"/>
            <w:color w:val="231F20"/>
            <w:sz w:val="20"/>
          </w:rPr>
          <w:t>“</w:t>
        </w:r>
      </w:hyperlink>
      <w:hyperlink r:id="rId4">
        <w:r>
          <w:rPr>
            <w:rStyle w:val="InternetLink"/>
            <w:rFonts w:ascii="Times New Roman;Times;serif" w:hAnsi="Times New Roman;Times;serif"/>
            <w:b w:val="false"/>
            <w:i w:val="false"/>
            <w:caps w:val="false"/>
            <w:smallCaps w:val="false"/>
            <w:color w:val="231F20"/>
            <w:sz w:val="20"/>
          </w:rPr>
          <w:t>Proposal No. 3 – The ESPP Proposal,”</w:t>
        </w:r>
      </w:hyperlink>
      <w:r>
        <w:rPr>
          <w:rFonts w:ascii="Times New Roman;Times;serif" w:hAnsi="Times New Roman;Times;serif"/>
          <w:color w:val="231F20"/>
          <w:spacing w:val="-10"/>
          <w:sz w:val="20"/>
        </w:rPr>
        <w:t xml:space="preserve"> which is incorporated herein by reference. The description of the ESPP in the Proxy Statement is qualified in its entirety by reference to the ESPP, which is filed as Exhibit 10.1 to this Quarterly Report and is incorporated herein by reference. </w:t>
      </w:r>
    </w:p>
    <w:p>
      <w:pPr>
        <w:pStyle w:val="TextBody"/>
        <w:bidi w:val="0"/>
        <w:spacing w:before="40" w:after="0"/>
        <w:ind w:left="0" w:right="0" w:hanging="0"/>
        <w:jc w:val="left"/>
        <w:rPr>
          <w:color w:val="212529"/>
        </w:rPr>
      </w:pPr>
      <w:r>
        <w:rPr>
          <w:color w:val="212529"/>
        </w:rPr>
        <w:t>​</w:t>
      </w:r>
    </w:p>
    <w:p>
      <w:pPr>
        <w:pStyle w:val="TextBody"/>
        <w:bidi w:val="0"/>
        <w:spacing w:before="40" w:after="0"/>
        <w:ind w:left="0" w:right="0" w:hanging="0"/>
        <w:jc w:val="left"/>
        <w:rPr>
          <w:rFonts w:ascii="Times New Roman;Times;serif" w:hAnsi="Times New Roman;Times;serif"/>
          <w:b/>
          <w:i/>
          <w:color w:val="212529"/>
          <w:sz w:val="20"/>
        </w:rPr>
      </w:pPr>
      <w:r>
        <w:rPr>
          <w:rFonts w:ascii="Times New Roman;Times;serif" w:hAnsi="Times New Roman;Times;serif"/>
          <w:b/>
          <w:i/>
          <w:color w:val="212529"/>
          <w:sz w:val="20"/>
        </w:rPr>
        <w:t>Rule 10b5-1 Trading Arrangements</w:t>
      </w:r>
    </w:p>
    <w:p>
      <w:pPr>
        <w:pStyle w:val="TextBody"/>
        <w:bidi w:val="0"/>
        <w:spacing w:before="40" w:after="0"/>
        <w:ind w:left="0" w:right="0" w:hanging="0"/>
        <w:jc w:val="left"/>
        <w:rPr>
          <w:color w:val="212529"/>
        </w:rPr>
      </w:pPr>
      <w:r>
        <w:rPr>
          <w:color w:val="212529"/>
        </w:rPr>
        <w:t>​</w:t>
      </w:r>
    </w:p>
    <w:p>
      <w:pPr>
        <w:pStyle w:val="TextBody"/>
        <w:bidi w:val="0"/>
        <w:spacing w:before="4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On May 27, 2026, Andrew Taylor, our Chief Financial Officer, terminated his “Rule 10b5-1 trading arrangement,” as such term is defined in Item 408(c) of Regulation S-K, for the sale of up to 84,000 shares of our common stock, subject to certain conditions. The Rule 10b5-1 trading arrangement was adopted on December 18, 2025, with sales to commence on July 1, 2026 (subject to the satisfaction of certain conditions) and the arrangement to expire on June 30, 2027. At the time of termination, no shares of our common stock had been sold under Mr. Taylor’s Rule 10b5-1 trading arrangement. </w:t>
      </w:r>
    </w:p>
    <w:p>
      <w:pPr>
        <w:pStyle w:val="TextBody"/>
        <w:bidi w:val="0"/>
        <w:spacing w:before="40" w:after="0"/>
        <w:ind w:left="0" w:right="0" w:firstLine="360"/>
        <w:jc w:val="both"/>
        <w:rPr>
          <w:color w:val="231F20"/>
          <w:spacing w:val="-10"/>
          <w:shd w:fill="FFFF00" w:val="clear"/>
        </w:rPr>
      </w:pPr>
      <w:r>
        <w:rPr>
          <w:color w:val="231F20"/>
          <w:spacing w:val="-10"/>
          <w:shd w:fill="FFFF00" w:val="clear"/>
        </w:rPr>
        <w:t>​</w:t>
      </w:r>
    </w:p>
    <w:p>
      <w:pPr>
        <w:pStyle w:val="TextBody"/>
        <w:bidi w:val="0"/>
        <w:spacing w:before="40" w:after="0"/>
        <w:ind w:left="0" w:right="0" w:firstLine="360"/>
        <w:jc w:val="both"/>
        <w:rPr>
          <w:rFonts w:ascii="Times New Roman;Times;serif" w:hAnsi="Times New Roman;Times;serif"/>
          <w:color w:val="231F20"/>
          <w:spacing w:val="-10"/>
          <w:sz w:val="20"/>
        </w:rPr>
      </w:pPr>
      <w:r>
        <w:rPr>
          <w:rFonts w:ascii="Times New Roman;Times;serif" w:hAnsi="Times New Roman;Times;serif"/>
          <w:color w:val="231F20"/>
          <w:spacing w:val="-10"/>
          <w:sz w:val="20"/>
        </w:rPr>
        <w:t xml:space="preserve">During the three months ended June 30, 2026, no other director or officer (as defined in Rule 16a-1(f) promulgated under the Exchange Act) informed us of the adoption or termination of a “Rule 10b5-1 trading arrangement” or a “non-Rule 10b5-1 trading arrangement”, as those terms are defined in Item 408(c) of Regulation S-K. </w:t>
      </w:r>
    </w:p>
    <w:p>
      <w:pPr>
        <w:pStyle w:val="TextBody"/>
        <w:bidi w:val="0"/>
        <w:spacing w:before="4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bookmarkStart w:id="1244" w:name="Item6Exhibits_566689"/>
      <w:bookmarkStart w:id="1245" w:name="_61758dd8_e0c7_42e2_b001_3667cf0f1fb6"/>
      <w:bookmarkEnd w:id="1244"/>
      <w:bookmarkEnd w:id="1245"/>
      <w:r>
        <w:rPr>
          <w:rFonts w:ascii="Times New Roman;Times;serif" w:hAnsi="Times New Roman;Times;serif"/>
          <w:b/>
          <w:sz w:val="20"/>
        </w:rPr>
        <w:t>Item 6. Exhibits.</w:t>
      </w:r>
    </w:p>
    <w:tbl>
      <w:tblPr>
        <w:tblW w:w="10205" w:type="dxa"/>
        <w:jc w:val="left"/>
        <w:tblInd w:w="0" w:type="dxa"/>
        <w:tblLayout w:type="fixed"/>
        <w:tblCellMar>
          <w:top w:w="0" w:type="dxa"/>
          <w:left w:w="0" w:type="dxa"/>
          <w:bottom w:w="28" w:type="dxa"/>
          <w:right w:w="0" w:type="dxa"/>
        </w:tblCellMar>
      </w:tblPr>
      <w:tblGrid>
        <w:gridCol w:w="804"/>
        <w:gridCol w:w="346"/>
        <w:gridCol w:w="9055"/>
      </w:tblGrid>
      <w:tr>
        <w:trPr/>
        <w:tc>
          <w:tcPr>
            <w:tcW w:w="804"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90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04" w:type="dxa"/>
            <w:tcBorders>
              <w:top w:val="single" w:sz="2" w:space="0" w:color="000000"/>
            </w:tcBorders>
            <w:tcMar>
              <w:top w:w="28" w:type="dxa"/>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5" w:type="dxa"/>
            <w:tcBorders>
              <w:top w:val="single" w:sz="2" w:space="0" w:color="000000"/>
            </w:tcBorders>
            <w:tcMar>
              <w:top w:w="28" w:type="dxa"/>
              <w:bottom w:w="0" w:type="dxa"/>
            </w:tcMar>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Certificate of Incorporation of Orchestra BioMed Holdings, Inc. (incorporated by reference to Exhibit 3.1 to the Current Report on Form 8-K filed with the SEC on January 31, 2023).</w:t>
              </w:r>
            </w:hyperlink>
          </w:p>
        </w:tc>
      </w:tr>
      <w:tr>
        <w:trPr/>
        <w:tc>
          <w:tcPr>
            <w:tcW w:w="80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5" w:type="dxa"/>
            <w:tcBorders/>
            <w:tcMar>
              <w:bottom w:w="0" w:type="dxa"/>
            </w:tcMar>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Certificate of Designation of Series A Convertible Preferred Stock, dated November 6, 2025 (incorporated by reference to Exhibit 3.2 to the Company’s Quarterly Report on Form 10-Q filed with the SEC on November 10, 2025)</w:t>
              </w:r>
            </w:hyperlink>
          </w:p>
        </w:tc>
      </w:tr>
      <w:tr>
        <w:trPr/>
        <w:tc>
          <w:tcPr>
            <w:tcW w:w="80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5" w:type="dxa"/>
            <w:tcBorders/>
            <w:tcMar>
              <w:bottom w:w="0" w:type="dxa"/>
            </w:tcMar>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Amended and Restated Bylaws of Orchestra BioMed Holdings, Inc. (incorporated by reference to Exhibit 3.2 to the Quarterly Report on Form 10-Q filed with the SEC on August 12, 2024).</w:t>
              </w:r>
            </w:hyperlink>
          </w:p>
        </w:tc>
      </w:tr>
      <w:tr>
        <w:trPr/>
        <w:tc>
          <w:tcPr>
            <w:tcW w:w="80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5" w:type="dxa"/>
            <w:tcBorders/>
            <w:tcMar>
              <w:bottom w:w="0" w:type="dxa"/>
            </w:tcMar>
            <w:vAlign w:val="center"/>
          </w:tcPr>
          <w:p>
            <w:pPr>
              <w:pStyle w:val="TableContents"/>
              <w:bidi w:val="0"/>
              <w:spacing w:before="0" w:after="0"/>
              <w:ind w:left="0" w:right="0" w:hanging="0"/>
              <w:jc w:val="both"/>
              <w:rPr/>
            </w:pPr>
            <w:hyperlink w:anchor="obio-20260630xex10d1.htm">
              <w:r>
                <w:rPr>
                  <w:rStyle w:val="InternetLink"/>
                  <w:rFonts w:ascii="Times New Roman;Times;serif" w:hAnsi="Times New Roman;Times;serif"/>
                  <w:b w:val="false"/>
                  <w:i w:val="false"/>
                  <w:caps w:val="false"/>
                  <w:smallCaps w:val="false"/>
                  <w:sz w:val="20"/>
                </w:rPr>
                <w:t>Orchestra BioMed Holdings, Inc. 2026 Employee Stock Purchase Plan.</w:t>
              </w:r>
            </w:hyperlink>
          </w:p>
        </w:tc>
      </w:tr>
      <w:tr>
        <w:trPr/>
        <w:tc>
          <w:tcPr>
            <w:tcW w:w="80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5" w:type="dxa"/>
            <w:tcBorders/>
            <w:tcMar>
              <w:bottom w:w="0" w:type="dxa"/>
            </w:tcMar>
            <w:vAlign w:val="center"/>
          </w:tcPr>
          <w:p>
            <w:pPr>
              <w:pStyle w:val="TableContents"/>
              <w:bidi w:val="0"/>
              <w:spacing w:before="0" w:after="0"/>
              <w:ind w:left="0" w:right="0" w:hanging="0"/>
              <w:jc w:val="both"/>
              <w:rPr/>
            </w:pPr>
            <w:hyperlink w:anchor="obio-20260630xex31d1.htm">
              <w:r>
                <w:rPr>
                  <w:rStyle w:val="InternetLink"/>
                  <w:rFonts w:ascii="Times New Roman;Times;serif" w:hAnsi="Times New Roman;Times;serif"/>
                  <w:b w:val="false"/>
                  <w:i w:val="false"/>
                  <w:caps w:val="false"/>
                  <w:smallCaps w:val="false"/>
                  <w:sz w:val="20"/>
                </w:rPr>
                <w:t>Certification of Chief Executive Officer, as adopted pursuant to Section 302 of the Sarbanes-Oxley Act of 2002.</w:t>
              </w:r>
            </w:hyperlink>
          </w:p>
        </w:tc>
      </w:tr>
      <w:tr>
        <w:trPr/>
        <w:tc>
          <w:tcPr>
            <w:tcW w:w="80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5" w:type="dxa"/>
            <w:tcBorders/>
            <w:tcMar>
              <w:bottom w:w="0" w:type="dxa"/>
            </w:tcMar>
            <w:vAlign w:val="center"/>
          </w:tcPr>
          <w:p>
            <w:pPr>
              <w:pStyle w:val="TableContents"/>
              <w:bidi w:val="0"/>
              <w:spacing w:before="0" w:after="0"/>
              <w:ind w:left="0" w:right="0" w:hanging="0"/>
              <w:jc w:val="both"/>
              <w:rPr/>
            </w:pPr>
            <w:hyperlink w:anchor="obio-20260630xex31d2.htm">
              <w:r>
                <w:rPr>
                  <w:rStyle w:val="InternetLink"/>
                  <w:rFonts w:ascii="Times New Roman;Times;serif" w:hAnsi="Times New Roman;Times;serif"/>
                  <w:b w:val="false"/>
                  <w:i w:val="false"/>
                  <w:caps w:val="false"/>
                  <w:smallCaps w:val="false"/>
                  <w:sz w:val="20"/>
                </w:rPr>
                <w:t>Certification of Chief Financial Officer, as adopted pursuant to Section 302 of the Sarbanes-Oxley Act of 2002.</w:t>
              </w:r>
            </w:hyperlink>
          </w:p>
        </w:tc>
      </w:tr>
      <w:tr>
        <w:trPr/>
        <w:tc>
          <w:tcPr>
            <w:tcW w:w="80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5" w:type="dxa"/>
            <w:tcBorders/>
            <w:tcMar>
              <w:bottom w:w="0" w:type="dxa"/>
            </w:tcMar>
            <w:vAlign w:val="center"/>
          </w:tcPr>
          <w:p>
            <w:pPr>
              <w:pStyle w:val="TableContents"/>
              <w:bidi w:val="0"/>
              <w:spacing w:before="0" w:after="0"/>
              <w:ind w:left="0" w:right="0" w:hanging="0"/>
              <w:jc w:val="both"/>
              <w:rPr/>
            </w:pPr>
            <w:hyperlink w:anchor="obio-202606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80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5" w:type="dxa"/>
            <w:tcBorders/>
            <w:tcMar>
              <w:bottom w:w="0" w:type="dxa"/>
            </w:tcMar>
            <w:vAlign w:val="center"/>
          </w:tcPr>
          <w:p>
            <w:pPr>
              <w:pStyle w:val="TableContents"/>
              <w:bidi w:val="0"/>
              <w:spacing w:before="0" w:after="0"/>
              <w:ind w:left="0" w:right="0" w:hanging="0"/>
              <w:jc w:val="both"/>
              <w:rPr/>
            </w:pPr>
            <w:hyperlink w:anchor="obio-20260630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80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5"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80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5"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0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5"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0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5"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0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5"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0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5"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04"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5"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     Indicates a management contract or compensatory plan.</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Furnished herewith. This exhibit shall not be deemed “filed” for purposes of Section 18 of the Exchange Act or otherwise subject to the liability of that Section. Such exhibit shall not be deemed incorporated into any filing under the Securities Act or the Exchange Act.</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Certain identified information has been omitted pursuant to Item 601(b)(10) of Regulation S-K because such information is both (i) not material and (ii) information that the Registrant treats as private or confidential. The Registrant hereby undertakes to furnish supplemental copies of the unredacted exhibit upon request by the SEC.</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160"/>
              <w:jc w:val="both"/>
              <w:rPr/>
            </w:pPr>
            <w:r>
              <w:rPr/>
              <w:t>†</w:t>
            </w:r>
          </w:p>
        </w:tc>
        <w:tc>
          <w:tcPr>
            <w:tcW w:w="9964"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Certain of the exhibits and schedules to this Exhibit have been omitted in accordance with Regulation S-K Item 601. The Registrant agrees to furnish a copy of all omitted exhibits and schedules to the SEC upon its request.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246" w:name="SIGNATURES_191271"/>
      <w:bookmarkStart w:id="1247" w:name="_809a4cbe_0f53_490e_9803_77f0c7f89bca"/>
      <w:bookmarkEnd w:id="1246"/>
      <w:bookmarkEnd w:id="1247"/>
      <w:r>
        <w:rPr>
          <w:rFonts w:ascii="Times New Roman;Times;serif" w:hAnsi="Times New Roman;Times;serif"/>
          <w:b/>
          <w:sz w:val="20"/>
        </w:rPr>
        <w:t>SIGNATURES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642" w:type="dxa"/>
        <w:jc w:val="left"/>
        <w:tblInd w:w="0" w:type="dxa"/>
        <w:tblLayout w:type="fixed"/>
        <w:tblCellMar>
          <w:top w:w="0" w:type="dxa"/>
          <w:left w:w="0" w:type="dxa"/>
          <w:bottom w:w="0" w:type="dxa"/>
          <w:right w:w="0" w:type="dxa"/>
        </w:tblCellMar>
      </w:tblPr>
      <w:tblGrid>
        <w:gridCol w:w="2056"/>
        <w:gridCol w:w="3586"/>
      </w:tblGrid>
      <w:tr>
        <w:trPr/>
        <w:tc>
          <w:tcPr>
            <w:tcW w:w="2056" w:type="dxa"/>
            <w:tcBorders/>
            <w:vAlign w:val="center"/>
          </w:tcPr>
          <w:p>
            <w:pPr>
              <w:pStyle w:val="TableContents"/>
              <w:bidi w:val="0"/>
              <w:spacing w:before="0" w:after="0"/>
              <w:ind w:left="0" w:right="0" w:hanging="0"/>
              <w:jc w:val="left"/>
              <w:rPr/>
            </w:pPr>
            <w:r>
              <w:rPr/>
              <w:t>​</w:t>
            </w:r>
          </w:p>
        </w:tc>
        <w:tc>
          <w:tcPr>
            <w:tcW w:w="3586"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pPr>
            <w:r>
              <w:rPr/>
              <w:t>​</w:t>
            </w:r>
          </w:p>
        </w:tc>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ORCHESTRA BIOMED HOLDINGS, INC.</w:t>
            </w:r>
          </w:p>
        </w:tc>
      </w:tr>
      <w:tr>
        <w:trPr/>
        <w:tc>
          <w:tcPr>
            <w:tcW w:w="2056" w:type="dxa"/>
            <w:tcBorders/>
            <w:vAlign w:val="center"/>
          </w:tcPr>
          <w:p>
            <w:pPr>
              <w:pStyle w:val="TableContents"/>
              <w:bidi w:val="0"/>
              <w:spacing w:before="0" w:after="0"/>
              <w:ind w:left="0" w:right="0" w:hanging="0"/>
              <w:jc w:val="left"/>
              <w:rPr/>
            </w:pPr>
            <w:r>
              <w:rPr/>
              <w:t>​</w:t>
            </w:r>
          </w:p>
        </w:tc>
        <w:tc>
          <w:tcPr>
            <w:tcW w:w="3586"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10, 2026</w:t>
            </w:r>
          </w:p>
        </w:tc>
        <w:tc>
          <w:tcPr>
            <w:tcW w:w="35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Andrew Taylor</w:t>
            </w:r>
          </w:p>
        </w:tc>
      </w:tr>
      <w:tr>
        <w:trPr/>
        <w:tc>
          <w:tcPr>
            <w:tcW w:w="2056" w:type="dxa"/>
            <w:tcBorders/>
            <w:vAlign w:val="center"/>
          </w:tcPr>
          <w:p>
            <w:pPr>
              <w:pStyle w:val="TableContents"/>
              <w:bidi w:val="0"/>
              <w:spacing w:before="0" w:after="0"/>
              <w:ind w:left="0" w:right="0" w:hanging="0"/>
              <w:jc w:val="left"/>
              <w:rPr/>
            </w:pPr>
            <w:r>
              <w:rPr/>
              <w:t>​</w:t>
            </w:r>
          </w:p>
        </w:tc>
        <w:tc>
          <w:tcPr>
            <w:tcW w:w="35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Taylor</w:t>
            </w:r>
          </w:p>
        </w:tc>
      </w:tr>
      <w:tr>
        <w:trPr/>
        <w:tc>
          <w:tcPr>
            <w:tcW w:w="2056" w:type="dxa"/>
            <w:tcBorders/>
            <w:vAlign w:val="center"/>
          </w:tcPr>
          <w:p>
            <w:pPr>
              <w:pStyle w:val="TableContents"/>
              <w:bidi w:val="0"/>
              <w:spacing w:before="0" w:after="0"/>
              <w:ind w:left="0" w:right="0" w:hanging="0"/>
              <w:jc w:val="left"/>
              <w:rPr/>
            </w:pPr>
            <w:r>
              <w:rPr/>
              <w:t>​</w:t>
            </w:r>
          </w:p>
        </w:tc>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056" w:type="dxa"/>
            <w:tcBorders/>
            <w:vAlign w:val="center"/>
          </w:tcPr>
          <w:p>
            <w:pPr>
              <w:pStyle w:val="TableContents"/>
              <w:bidi w:val="0"/>
              <w:spacing w:before="0" w:after="0"/>
              <w:ind w:left="0" w:right="0" w:hanging="0"/>
              <w:jc w:val="left"/>
              <w:rPr/>
            </w:pPr>
            <w:r>
              <w:rPr/>
              <w:t>​</w:t>
            </w:r>
          </w:p>
        </w:tc>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0"/>
        <w:ind w:left="0" w:right="0" w:hanging="0"/>
        <w:jc w:val="right"/>
        <w:rPr>
          <w:rFonts w:ascii="Times New Roman;Times;serif" w:hAnsi="Times New Roman;Times;serif"/>
          <w:b/>
          <w:sz w:val="20"/>
        </w:rPr>
      </w:pPr>
      <w:bookmarkStart w:id="1248" w:name="obio-20260630xex10d1.htm"/>
      <w:bookmarkStart w:id="1249" w:name="ksobio20260630xex10d1"/>
      <w:bookmarkEnd w:id="1248"/>
      <w:bookmarkEnd w:id="1249"/>
      <w:r>
        <w:rPr>
          <w:rFonts w:ascii="Times New Roman;Times;serif" w:hAnsi="Times New Roman;Times;serif"/>
          <w:b/>
          <w:sz w:val="20"/>
        </w:rPr>
        <w:t>Exhibit 10.1</w:t>
      </w:r>
      <w:r>
        <w:br w:type="page"/>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Orchestra BioMed Holdings, Inc.</w:t>
      </w:r>
    </w:p>
    <w:p>
      <w:pPr>
        <w:pStyle w:val="TextBody"/>
        <w:bidi w:val="0"/>
        <w:spacing w:before="0" w:after="0"/>
        <w:ind w:left="0" w:right="0" w:hanging="0"/>
        <w:jc w:val="center"/>
        <w:rPr>
          <w:caps/>
        </w:rPr>
      </w:pPr>
      <w:r>
        <w:rPr>
          <w:caps/>
        </w:rPr>
        <w:t>​</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2026 Employee Stock Purchase Plan</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Adopted by the Board of Directors: April 22, 2026</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Approved by the Stockholders: June 23, 2026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1.</w:t>
      </w:r>
      <w:r>
        <w:rPr>
          <w:rFonts w:ascii="Times New Roman;Times;serif" w:hAnsi="Times New Roman;Times;serif"/>
          <w:b/>
          <w:caps/>
          <w:sz w:val="20"/>
        </w:rPr>
        <w:t>General; Purpose.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Except as otherwise provided in the Plan or determined by the Board, the Non-423 Component will operate and be administered in the same manner as the 423 Component.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The Company, by means of the Plan, seeks to retain the services of such Eligible Employees, to secure and retain the services of new Employees and to provide incentives for such persons to exert maximum efforts for the success of the Company and its Related Corporations.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2.</w:t>
      </w:r>
      <w:r>
        <w:rPr>
          <w:rFonts w:ascii="Times New Roman;Times;serif" w:hAnsi="Times New Roman;Times;serif"/>
          <w:b/>
          <w:caps/>
          <w:sz w:val="20"/>
        </w:rPr>
        <w:t>Administration.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The Board or, to the extent set forth in Section 2(c), the Committee will administer the Plan. References herein to the Board shall be deemed to refer to the Committee except where context dictates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The Board will have the power, subject to, and within the limitations of, the express provisions of the Plan: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w:t>
      </w:r>
      <w:r>
        <w:rPr>
          <w:rFonts w:ascii="Times New Roman;Times;serif" w:hAnsi="Times New Roman;Times;serif"/>
          <w:sz w:val="20"/>
        </w:rPr>
        <w:t>To determine how and when Purchase Rights will be granted and the provisions of each Offering (which need not be identical).</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(ii)</w:t>
      </w:r>
      <w:r>
        <w:rPr>
          <w:rFonts w:ascii="Times New Roman;Times;serif" w:hAnsi="Times New Roman;Times;serif"/>
          <w:sz w:val="20"/>
        </w:rPr>
        <w:t>To designate from time to time (A) which Related Corporations will be eligible to participate in the Plan as Designated 423 Corporations, (B) which Related Corporations or Affiliates will be eligible to participate in the Plan as Designated Non-423 Corporations, or (C) which Designated Companies will participate in each separate Offering (to the extent that the Company makes separate Offerings).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(iii)</w:t>
      </w:r>
      <w:r>
        <w:rPr>
          <w:rFonts w:ascii="Times New Roman;Times;serif" w:hAnsi="Times New Roman;Times;serif"/>
          <w:sz w:val="20"/>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(iv)</w:t>
      </w:r>
      <w:r>
        <w:rPr>
          <w:rFonts w:ascii="Times New Roman;Times;serif" w:hAnsi="Times New Roman;Times;serif"/>
          <w:sz w:val="20"/>
        </w:rPr>
        <w:t>To settle all controversies regarding the Plan and Purchase Rights granted under the Plan.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(v)</w:t>
      </w:r>
      <w:r>
        <w:rPr>
          <w:rFonts w:ascii="Times New Roman;Times;serif" w:hAnsi="Times New Roman;Times;serif"/>
          <w:sz w:val="20"/>
        </w:rPr>
        <w:t>To suspend or terminate the Plan at any time as provided in Section 12.</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(vi)</w:t>
      </w:r>
      <w:r>
        <w:rPr>
          <w:rFonts w:ascii="Times New Roman;Times;serif" w:hAnsi="Times New Roman;Times;serif"/>
          <w:sz w:val="20"/>
        </w:rPr>
        <w:t>To amend the Plan at any time as provided in Section 12.</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(vii)</w:t>
      </w:r>
      <w:r>
        <w:rPr>
          <w:rFonts w:ascii="Times New Roman;Times;serif" w:hAnsi="Times New Roman;Times;serif"/>
          <w:sz w:val="20"/>
        </w:rPr>
        <w:t>Generally, to exercise such powers and to perform such acts as it deems necessary, or expedient to promote the best interests of the Company and its Related Corporations and to carry out the intent that the Plan be treated as an Employee Stock Purchase Plan with respect to the 423 Component.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(viii)</w:t>
      </w:r>
      <w:r>
        <w:rPr>
          <w:rFonts w:ascii="Times New Roman;Times;serif" w:hAnsi="Times New Roman;Times;serif"/>
          <w:sz w:val="20"/>
        </w:rPr>
        <w:t>To adopt such rules, procedures and sub-plans as are necessary or appropriate to permit or facilitate participation in the Plan by Employees who are foreign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Corporation, do not have to comply with the requirements of Section 423 of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and may, at any time, revest in the Board some or all of the powers previously delegated. Whether or not the Board has delegated administration of the Plan to a Committee or either of them have delegated authority to other persons or groups of persons, the Board will have the final power to determine all questions of policy and expediency that may arise in the administration of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rPr>
        <w:t>All determinations, interpretations and constructions made by the Board in good faith will not be subject to review by any person and will be final, binding and conclusive on all persons.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3.</w:t>
      </w:r>
      <w:r>
        <w:rPr>
          <w:rFonts w:ascii="Times New Roman;Times;serif" w:hAnsi="Times New Roman;Times;serif"/>
          <w:b/>
          <w:caps/>
          <w:sz w:val="20"/>
        </w:rPr>
        <w:t>Shares of Common Stock Subject to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Subject to the provisions of Section 11(a) relating to Capitalization Adjustments, the maximum number of shares of Common Stock that may be issued under the Plan will not exceed 750,000 shares of Common Stock. The limitation set forth in this section may be used to satisfy purchases of shares of Common Stock under either the 423 Component or the Non-423 Component of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If any Purchase Right granted under the Plan terminates without having been exercised in full, the shares of Common Stock not purchased under such Purchase Right will again become available for issuance under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The stock purchasable under the Plan will be shares of authorized but unissued or reacquired Common Stock, including shares repurchased by the Company on the open market.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4.</w:t>
      </w:r>
      <w:r>
        <w:rPr>
          <w:rFonts w:ascii="Times New Roman;Times;serif" w:hAnsi="Times New Roman;Times;serif"/>
          <w:b/>
          <w:caps/>
          <w:sz w:val="20"/>
        </w:rPr>
        <w:t>Grant of Purchase Rights;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If a Participant has more than one Purchase Right outstanding under the Plan, unless he or she otherwise indicates in forms delivered to the Company or a third party designated by the Company (each, a “</w:t>
      </w:r>
      <w:r>
        <w:rPr>
          <w:rFonts w:ascii="Times New Roman;Times;serif" w:hAnsi="Times New Roman;Times;serif"/>
          <w:b/>
          <w:i/>
          <w:sz w:val="20"/>
        </w:rPr>
        <w:t>Company Designee</w:t>
      </w:r>
      <w:r>
        <w:rPr>
          <w:rFonts w:ascii="Times New Roman;Times;serif" w:hAnsi="Times New Roman;Times;serif"/>
          <w:sz w:val="20"/>
        </w:rPr>
        <w:t>”):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5.</w:t>
      </w:r>
      <w:r>
        <w:rPr>
          <w:rFonts w:ascii="Times New Roman;Times;serif" w:hAnsi="Times New Roman;Times;serif"/>
          <w:b/>
          <w:caps/>
          <w:sz w:val="20"/>
        </w:rPr>
        <w:t>Eligibility.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or the Related Corporation or an Affiliate, as the case may be, for such continuous period preceding such Offering Date as the Board may require, but in no event will the required period of continuous employment be equal to or greater than two years with respect to the 423 Component. In addition, the Board may (unless prohibited by Applicable Law) provide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from participation in the Plan or any Offering Employees who are “highly compensated employees” (within the meaning of Section 423(b)(4)(D) of the Code) of the Company or a Related Corporation or a subset of such highly compensated employees.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The Board may provide that each person who, during the course of an Offering, is an Eligible Employee not currently participating in the current Offering (which shall, for avoidance of doubt, include any Eligible Employee that withdrew from the current Offering pursuant to Section 7(b)) will on a date or dates specified in the Offering, if the Eligible Employee so elects, receive a Purchase Right under that Offering, which Purchase Right will thereafter be deemed to be a part of that Offering; provided, however, if such an Eligible Employee previously withdrew from the current Offering pursuant to Section 7(b), such Eligible Employee shall only be permitted to rejoin the Offering after the first exercise of Purchase Rights following the Eligible Employee’s withdrawal. Such Purchase Right will have the same characteristics as any Purchase Rights originally granted under that Offering, as described herein, except that: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w:t>
      </w:r>
      <w:r>
        <w:rPr>
          <w:rFonts w:ascii="Times New Roman;Times;serif" w:hAnsi="Times New Roman;Times;serif"/>
          <w:sz w:val="20"/>
        </w:rPr>
        <w:t>the date on which such Purchase Right is granted will be the “Offering Date” of such Purchase Right for all purposes, including determination of the exercise price of such Purchase Right;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(ii)</w:t>
      </w:r>
      <w:r>
        <w:rPr>
          <w:rFonts w:ascii="Times New Roman;Times;serif" w:hAnsi="Times New Roman;Times;serif"/>
          <w:sz w:val="20"/>
        </w:rPr>
        <w:t>the period of the Offering with respect to such Purchase Right will begin on its Offering Date and end coincident with the end of such Offering;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(iii)</w:t>
      </w:r>
      <w:r>
        <w:rPr>
          <w:rFonts w:ascii="Times New Roman;Times;serif" w:hAnsi="Times New Roman;Times;serif"/>
          <w:sz w:val="20"/>
        </w:rPr>
        <w:t>the Board may provide that if such person first becomes an Eligible Employee within a specified period of time before the end of the Offering, he or she will not receive any Purchase Right under that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With respect to the 423 Component, no Employee will be eligible for the grant of any Purchase Rights if, immediately after any such Purchase Rights are granted, such Employee owns stock possessing</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5% or more of the total combined voting power or value of all classes of stock of the Company or of any Related Corporation. For purposes of this Section 5(c), the rules of Section 424(d) of the Code will apply in determining the stock ownership of any Employee, and stock that such Employee may purchase under all outstanding Purchase Rights and options will be treated as stock owned by such Employee.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rPr>
        <w:t>With respect to the 423 Component, 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sz w:val="20"/>
        </w:rPr>
        <w:t>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sz w:val="20"/>
        </w:rPr>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6.</w:t>
      </w:r>
      <w:r>
        <w:rPr>
          <w:rFonts w:ascii="Times New Roman;Times;serif" w:hAnsi="Times New Roman;Times;serif"/>
          <w:b/>
          <w:caps/>
          <w:sz w:val="20"/>
        </w:rPr>
        <w:t>Purchase Rights; Purchase Price.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On each Offering Date, each Eligible Employee, pursuant to an Offering made under the Plan, will be granted a Purchase Right to purchase up to that number of shares of Common Stock equal to either (i) a percentage of such Employee’s earnings or (ii) a maximum dollar amount, as designated by the Board, but in either case not exceeding 100% (or such lesser percentage as the Board may determine prior to the start of an Offering)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The Board will establish one or more Purchase Dates during an Offering on which Purchase Rights granted for that Offering will be exercised and shares of Common Stock will be purchased in accordance with such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In connection with each Offering made under the Plan, no Eligible Employee may purchase a number of shares of Common Stock having a Fair Market Value on the Offering Date greater than $75,000 (but still subject to the limitations set forth in Section 5(d) above), or such lesser number of shares determined by the Board prior to the commencement of the Offering, and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rPr>
        <w:t>The purchase price of shares of Common Stock acquired pursuant to Purchase Rights will be not less than the lesser of:</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w:t>
      </w:r>
      <w:r>
        <w:rPr>
          <w:rFonts w:ascii="Times New Roman;Times;serif" w:hAnsi="Times New Roman;Times;serif"/>
          <w:sz w:val="20"/>
        </w:rPr>
        <w:t>an amount equal to 85% of the Fair Market Value of the shares of Common Stock on the Offering Date; or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(ii)</w:t>
      </w:r>
      <w:r>
        <w:rPr>
          <w:rFonts w:ascii="Times New Roman;Times;serif" w:hAnsi="Times New Roman;Times;serif"/>
          <w:sz w:val="20"/>
        </w:rPr>
        <w:t>an amount equal to 85% of the Fair Market Value of the shares of Common Stock on the applicable Purchase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7.</w:t>
      </w:r>
      <w:r>
        <w:rPr>
          <w:rFonts w:ascii="Times New Roman;Times;serif" w:hAnsi="Times New Roman;Times;serif"/>
          <w:b/>
          <w:caps/>
          <w:sz w:val="20"/>
        </w:rPr>
        <w:t>Participation; Withdrawal; Termination; Holding Period For Shares Purchased.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required under Applicable Law or if specifically provided in the Offering, in addition to or instead of making Contributions by payroll deductions, a Participant may make Contributions through payment by cash, check or wire transfer prior to a Purchase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During an Offering, a Participant may cease making Contributions and withdraw from the Offering by delivering to the Company or a Company Designee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Applicable Law) or (ii) is otherwise no longer eligible to participate. The Company will distribute as soon as practicable to such individual all of his or her accumulated but unused Contributions.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rPr>
        <w:t>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sz w:val="20"/>
        </w:rPr>
        <w:t>The Board may with respect to any and all Offerings impose a Holding Period on shares of Common Stock acquired during any such Offering. During any such Holding Period, a Participant shall not be able to sell the shares of Common Stock acquired pursuant to the Offering for which such Holding Period was imposed and will be at market risk with respect to such shares of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sz w:val="20"/>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sz w:val="20"/>
        </w:rPr>
        <w:t>Unless otherwise specified in the Offering or as required by Applicable Law, the Company will have no obligation to pay interest on Contributions.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8.</w:t>
      </w:r>
      <w:r>
        <w:rPr>
          <w:rFonts w:ascii="Times New Roman;Times;serif" w:hAnsi="Times New Roman;Times;serif"/>
          <w:b/>
          <w:caps/>
          <w:sz w:val="20"/>
        </w:rPr>
        <w:t>Exercise of Purchase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Unless otherwise provided in the Offering, if the amount of accumulated Contributions that remains in a Participant’s account after the purchase of shares of Common Stock on the final Purchase Date of an Offering is less than the amount to have purchased one full share of Common Stock, then such remaining amount will roll over to the next Offering (unless otherwise required by Applicable Law). For the avoidance of doubt, and unless otherwise provided in the Offering, if the amount of accumulated Contributions that remains in a Participant’s account after the purchase of shares of Common Stock on the final Purchase Date of an Offering equals or exceeds the amount to have purchased one full share of Common Stock, then such amounts will be distributed in full to such Participant after the final Purchase Date of such Offering without interest (unless otherwise required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9.</w:t>
      </w:r>
      <w:r>
        <w:rPr>
          <w:rFonts w:ascii="Times New Roman;Times;serif" w:hAnsi="Times New Roman;Times;serif"/>
          <w:b/>
          <w:caps/>
          <w:sz w:val="20"/>
        </w:rPr>
        <w:t>Covenants of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will seek to obtain from each U.S. federal or state, foreign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10.</w:t>
      </w:r>
      <w:r>
        <w:rPr>
          <w:rFonts w:ascii="Times New Roman;Times;serif" w:hAnsi="Times New Roman;Times;serif"/>
          <w:b/>
          <w:caps/>
          <w:sz w:val="20"/>
        </w:rPr>
        <w:t>Designation of Beneficiary.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11.</w:t>
      </w:r>
      <w:r>
        <w:rPr>
          <w:rFonts w:ascii="Times New Roman;Times;serif" w:hAnsi="Times New Roman;Times;serif"/>
          <w:b/>
          <w:caps/>
          <w:sz w:val="20"/>
        </w:rPr>
        <w:t>Adjustments Upon Changes in Common Stock; Corporate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In the event of a Capitalization Adjustment, the Board will appropriately and proportionately adjust: (i) the class(es) and maximum number of securities subject to the Plan pursuant to Section 3(a), (ii) the class(es) and number of securities subject to, and the purchase price applicable to outstanding Offerings and Purchase Rights and (iii) the class(es) and number of securities that are the subject of the purchase limits under each ongoing Offering. The Board will make these adjustments, and its determination will be final, binding and conclusive.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(A)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 or (B) the Board, in its discretion, may terminate any outstanding Offerings, cancel the outstanding Purchase Rights and refund the Participants’ accumulated Contributions.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12.</w:t>
      </w:r>
      <w:r>
        <w:rPr>
          <w:rFonts w:ascii="Times New Roman;Times;serif" w:hAnsi="Times New Roman;Times;serif"/>
          <w:b/>
          <w:caps/>
          <w:sz w:val="20"/>
        </w:rPr>
        <w:t>Amendment, Termination or Suspension of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The Board may amend the Plan at any time in any respect the Board deems necessary or advisable. However, stockholder approval will be required for any amendment of the Plan for which stockholder approval is required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The Board may suspend or terminate the Plan at any time. No Purchase Rights may be granted under the Plan while the Plan is suspended or after it is terminated.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13.</w:t>
      </w:r>
      <w:r>
        <w:rPr>
          <w:rFonts w:ascii="Times New Roman;Times;serif" w:hAnsi="Times New Roman;Times;serif"/>
          <w:b/>
          <w:caps/>
          <w:sz w:val="20"/>
        </w:rPr>
        <w:t>Tax Qualification; Tax Withholding.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special or to avoid unfavorable tax treatment, notwithstanding anything to the contrary in this Plan. The Company will be unconstrained in its corporate activities without regard to the potential negative tax impact on Participants.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Each Participant will make arrangements, satisfactory to the Company and any applicable Related Corporation, to enable the Company or the Related Corporation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or a Related Corporation;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14.</w:t>
      </w:r>
      <w:r>
        <w:rPr>
          <w:rFonts w:ascii="Times New Roman;Times;serif" w:hAnsi="Times New Roman;Times;serif"/>
          <w:b/>
          <w:caps/>
          <w:sz w:val="20"/>
        </w:rPr>
        <w:t>Effective Date of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Plan will become effective on the date on which the Company’s stockholders approve the adoption of the Plan.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15.</w:t>
      </w:r>
      <w:r>
        <w:rPr>
          <w:rFonts w:ascii="Times New Roman;Times;serif" w:hAnsi="Times New Roman;Times;serif"/>
          <w:b/>
          <w:caps/>
          <w:sz w:val="20"/>
        </w:rPr>
        <w:t>Miscellaneous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Proceeds from the sale of shares of Common Stock pursuant to Purchase Rights will constitute general funds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The Plan and Offering do not constitute an employment contract. Nothing in the Plan or in the Offering will in any way alter the at will nature of a Participant’s employment or amend a Participant’s employment contract, if applicable, or be deemed to create in any way whatsoever any obligation on the part of any Participant to continue in the employ of the Company or a Related Corporation or an Affiliate, or on the part of the Company, a Related Corporation or an Affiliate to continue the employment of a Participant.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rPr>
        <w:t>The provisions of the Plan will be governed by the laws of the State of Delaware without resort to that state’s conflicts of laws rules.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sz w:val="20"/>
        </w:rPr>
        <w:t>If any particular provision of the Plan is found to be invalid or otherwise unenforceable, such provision will not affect the other provisions of the Plan, but the Plan will be construed in all respects as if such invalid provision were omitted.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sz w:val="20"/>
        </w:rPr>
        <w:t>If any provision of the Plan does not comply with Applicable Law, such provision shall be construed in such a manner as to comply with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16.</w:t>
      </w:r>
      <w:r>
        <w:rPr>
          <w:rFonts w:ascii="Times New Roman;Times;serif" w:hAnsi="Times New Roman;Times;serif"/>
          <w:b/>
          <w:caps/>
          <w:sz w:val="20"/>
        </w:rPr>
        <w:t>Definitions.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used in the Plan, the following definitions will apply to the capitalized terms indicated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w:t>
      </w:r>
      <w:r>
        <w:rPr>
          <w:rFonts w:ascii="Times New Roman;Times;serif" w:hAnsi="Times New Roman;Times;serif"/>
          <w:b/>
          <w:i/>
          <w:sz w:val="20"/>
        </w:rPr>
        <w:t>423 Component</w:t>
      </w:r>
      <w:r>
        <w:rPr>
          <w:rFonts w:ascii="Times New Roman;Times;serif" w:hAnsi="Times New Roman;Times;serif"/>
          <w:sz w:val="20"/>
        </w:rPr>
        <w:t>” means the part of the Plan, which excludes the Non-423 Component, pursuant to which Purchase Rights that satisfy the requirements for an Employee Stock Purchase Plan may be granted to Eligible Employees.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w:t>
      </w:r>
      <w:r>
        <w:rPr>
          <w:rFonts w:ascii="Times New Roman;Times;serif" w:hAnsi="Times New Roman;Times;serif"/>
          <w:b/>
          <w:i/>
          <w:sz w:val="20"/>
        </w:rPr>
        <w:t>Affiliate</w:t>
      </w:r>
      <w:r>
        <w:rPr>
          <w:rFonts w:ascii="Times New Roman;Times;serif" w:hAnsi="Times New Roman;Times;serif"/>
          <w:sz w:val="20"/>
        </w:rPr>
        <w:t>” means any entity, other than a Related Corporation, whether now or subsequently established, which is at the time of determination, a “parent” or “subsidiary” of the Company as such</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terms are defined in Rule 405, promulgated under the Securities Act. The Board may determine the time or times at which “parent” or “subsidiary” status is determined within the foregoing definition.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w:t>
      </w:r>
      <w:r>
        <w:rPr>
          <w:rFonts w:ascii="Times New Roman;Times;serif" w:hAnsi="Times New Roman;Times;serif"/>
          <w:b/>
          <w:i/>
          <w:sz w:val="20"/>
        </w:rPr>
        <w:t>Applicable Law</w:t>
      </w:r>
      <w:r>
        <w:rPr>
          <w:rFonts w:ascii="Times New Roman;Times;serif" w:hAnsi="Times New Roman;Times;serif"/>
          <w:sz w:val="20"/>
        </w:rPr>
        <w:t>” means the Code and any applicable U.S. or non-U.S.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LLC, the New York Stock Exchange or the Financial Industry Regulatory Authority,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rPr>
        <w:t>“</w:t>
      </w:r>
      <w:r>
        <w:rPr>
          <w:rFonts w:ascii="Times New Roman;Times;serif" w:hAnsi="Times New Roman;Times;serif"/>
          <w:b/>
          <w:i/>
          <w:sz w:val="20"/>
        </w:rPr>
        <w:t>Board</w:t>
      </w:r>
      <w:r>
        <w:rPr>
          <w:rFonts w:ascii="Times New Roman;Times;serif" w:hAnsi="Times New Roman;Times;serif"/>
          <w:sz w:val="20"/>
        </w:rPr>
        <w:t>” means the board of directors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sz w:val="20"/>
        </w:rPr>
        <w:t>“</w:t>
      </w:r>
      <w:r>
        <w:rPr>
          <w:rFonts w:ascii="Times New Roman;Times;serif" w:hAnsi="Times New Roman;Times;serif"/>
          <w:b/>
          <w:i/>
          <w:sz w:val="20"/>
        </w:rPr>
        <w:t>Capitalization Adjustment</w:t>
      </w:r>
      <w:r>
        <w:rPr>
          <w:rFonts w:ascii="Times New Roman;Times;serif" w:hAnsi="Times New Roman;Times;serif"/>
          <w:sz w:val="20"/>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sz w:val="20"/>
        </w:rPr>
        <w:t>“</w:t>
      </w:r>
      <w:r>
        <w:rPr>
          <w:rFonts w:ascii="Times New Roman;Times;serif" w:hAnsi="Times New Roman;Times;serif"/>
          <w:b/>
          <w:i/>
          <w:sz w:val="20"/>
        </w:rPr>
        <w:t>Code</w:t>
      </w:r>
      <w:r>
        <w:rPr>
          <w:rFonts w:ascii="Times New Roman;Times;serif" w:hAnsi="Times New Roman;Times;serif"/>
          <w:sz w:val="20"/>
        </w:rPr>
        <w:t>” means the U.S. Internal Revenue Code of 1986, as amended, including any applicable regulations and guidance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sz w:val="20"/>
        </w:rPr>
        <w:t>“</w:t>
      </w:r>
      <w:r>
        <w:rPr>
          <w:rFonts w:ascii="Times New Roman;Times;serif" w:hAnsi="Times New Roman;Times;serif"/>
          <w:b/>
          <w:i/>
          <w:sz w:val="20"/>
        </w:rPr>
        <w:t>Committee</w:t>
      </w:r>
      <w:r>
        <w:rPr>
          <w:rFonts w:ascii="Times New Roman;Times;serif" w:hAnsi="Times New Roman;Times;serif"/>
          <w:sz w:val="20"/>
        </w:rPr>
        <w:t>” means a committee of one or more members of the Board to whom authority has been delegated by the Board in accordance with Section 2(c).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(h)</w:t>
      </w:r>
      <w:r>
        <w:rPr>
          <w:rFonts w:ascii="Times New Roman;Times;serif" w:hAnsi="Times New Roman;Times;serif"/>
          <w:sz w:val="20"/>
        </w:rPr>
        <w:t>“</w:t>
      </w:r>
      <w:r>
        <w:rPr>
          <w:rFonts w:ascii="Times New Roman;Times;serif" w:hAnsi="Times New Roman;Times;serif"/>
          <w:b/>
          <w:i/>
          <w:sz w:val="20"/>
        </w:rPr>
        <w:t>Common Stock</w:t>
      </w:r>
      <w:r>
        <w:rPr>
          <w:rFonts w:ascii="Times New Roman;Times;serif" w:hAnsi="Times New Roman;Times;serif"/>
          <w:sz w:val="20"/>
        </w:rPr>
        <w:t>” means the common stock, par value $0.0001 per share,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w:t>
      </w:r>
      <w:r>
        <w:rPr>
          <w:rFonts w:ascii="Times New Roman;Times;serif" w:hAnsi="Times New Roman;Times;serif"/>
          <w:sz w:val="20"/>
        </w:rPr>
        <w:t>“</w:t>
      </w:r>
      <w:r>
        <w:rPr>
          <w:rFonts w:ascii="Times New Roman;Times;serif" w:hAnsi="Times New Roman;Times;serif"/>
          <w:b/>
          <w:i/>
          <w:sz w:val="20"/>
        </w:rPr>
        <w:t>Company</w:t>
      </w:r>
      <w:r>
        <w:rPr>
          <w:rFonts w:ascii="Times New Roman;Times;serif" w:hAnsi="Times New Roman;Times;serif"/>
          <w:sz w:val="20"/>
        </w:rPr>
        <w:t>” means Orchestra BioMed Holdings, Inc., a Delaware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(j)</w:t>
      </w:r>
      <w:r>
        <w:rPr>
          <w:rFonts w:ascii="Times New Roman;Times;serif" w:hAnsi="Times New Roman;Times;serif"/>
          <w:sz w:val="20"/>
        </w:rPr>
        <w:t>“</w:t>
      </w:r>
      <w:r>
        <w:rPr>
          <w:rFonts w:ascii="Times New Roman;Times;serif" w:hAnsi="Times New Roman;Times;serif"/>
          <w:b/>
          <w:i/>
          <w:sz w:val="20"/>
        </w:rPr>
        <w:t>Contributions</w:t>
      </w:r>
      <w:r>
        <w:rPr>
          <w:rFonts w:ascii="Times New Roman;Times;serif" w:hAnsi="Times New Roman;Times;serif"/>
          <w:sz w:val="20"/>
        </w:rPr>
        <w:t>” means the payroll deductions and other additional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(k)</w:t>
      </w:r>
      <w:r>
        <w:rPr>
          <w:rFonts w:ascii="Times New Roman;Times;serif" w:hAnsi="Times New Roman;Times;serif"/>
          <w:sz w:val="20"/>
        </w:rPr>
        <w:t>“</w:t>
      </w:r>
      <w:r>
        <w:rPr>
          <w:rFonts w:ascii="Times New Roman;Times;serif" w:hAnsi="Times New Roman;Times;serif"/>
          <w:b/>
          <w:i/>
          <w:sz w:val="20"/>
        </w:rPr>
        <w:t>Corporate Transaction</w:t>
      </w:r>
      <w:r>
        <w:rPr>
          <w:rFonts w:ascii="Times New Roman;Times;serif" w:hAnsi="Times New Roman;Times;serif"/>
          <w:sz w:val="20"/>
        </w:rPr>
        <w:t>” means the consummation, in a single transaction or in a series of related transactions, of any one or more of the following events: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w:t>
      </w:r>
      <w:r>
        <w:rPr>
          <w:rFonts w:ascii="Times New Roman;Times;serif" w:hAnsi="Times New Roman;Times;serif"/>
          <w:sz w:val="20"/>
        </w:rPr>
        <w:t>a sale or other disposition of all or substantially all, as determined by the Board in its sole discretion, of the consolidated assets of the Company and its subsidiaries;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(ii)</w:t>
      </w:r>
      <w:r>
        <w:rPr>
          <w:rFonts w:ascii="Times New Roman;Times;serif" w:hAnsi="Times New Roman;Times;serif"/>
          <w:sz w:val="20"/>
        </w:rPr>
        <w:t>a sale or other disposition of more than 50% of the outstanding securities of the Company;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(iii)</w:t>
      </w:r>
      <w:r>
        <w:rPr>
          <w:rFonts w:ascii="Times New Roman;Times;serif" w:hAnsi="Times New Roman;Times;serif"/>
          <w:sz w:val="20"/>
        </w:rPr>
        <w:t>a merger, consolidation or similar transaction following which the Company is not the surviving corporation; or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(iv)</w:t>
      </w:r>
      <w:r>
        <w:rPr>
          <w:rFonts w:ascii="Times New Roman;Times;serif" w:hAnsi="Times New Roman;Times;serif"/>
          <w:sz w:val="20"/>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(l)</w:t>
      </w:r>
      <w:r>
        <w:rPr>
          <w:rFonts w:ascii="Times New Roman;Times;serif" w:hAnsi="Times New Roman;Times;serif"/>
          <w:sz w:val="20"/>
        </w:rPr>
        <w:t>“</w:t>
      </w:r>
      <w:r>
        <w:rPr>
          <w:rFonts w:ascii="Times New Roman;Times;serif" w:hAnsi="Times New Roman;Times;serif"/>
          <w:b/>
          <w:i/>
          <w:sz w:val="20"/>
        </w:rPr>
        <w:t>Designated 423 Corporation</w:t>
      </w:r>
      <w:r>
        <w:rPr>
          <w:rFonts w:ascii="Times New Roman;Times;serif" w:hAnsi="Times New Roman;Times;serif"/>
          <w:sz w:val="20"/>
        </w:rPr>
        <w:t>” means any Related Corporation selected by the Board to participate in the 423 Component.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(m)</w:t>
      </w:r>
      <w:r>
        <w:rPr>
          <w:rFonts w:ascii="Times New Roman;Times;serif" w:hAnsi="Times New Roman;Times;serif"/>
          <w:sz w:val="20"/>
        </w:rPr>
        <w:t>“</w:t>
      </w:r>
      <w:r>
        <w:rPr>
          <w:rFonts w:ascii="Times New Roman;Times;serif" w:hAnsi="Times New Roman;Times;serif"/>
          <w:b/>
          <w:i/>
          <w:sz w:val="20"/>
        </w:rPr>
        <w:t>Designated Company</w:t>
      </w:r>
      <w:r>
        <w:rPr>
          <w:rFonts w:ascii="Times New Roman;Times;serif" w:hAnsi="Times New Roman;Times;serif"/>
          <w:sz w:val="20"/>
        </w:rPr>
        <w:t>” means any Designated Non-423 Corporation or Designated 423 Corporation, provided, however, that at any given time, a Related Corporation participating in the 423 Component shall not be a Related Corporation participating in the Non-423 Component.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(n)</w:t>
      </w:r>
      <w:r>
        <w:rPr>
          <w:rFonts w:ascii="Times New Roman;Times;serif" w:hAnsi="Times New Roman;Times;serif"/>
          <w:sz w:val="20"/>
        </w:rPr>
        <w:t>“</w:t>
      </w:r>
      <w:r>
        <w:rPr>
          <w:rFonts w:ascii="Times New Roman;Times;serif" w:hAnsi="Times New Roman;Times;serif"/>
          <w:b/>
          <w:i/>
          <w:sz w:val="20"/>
        </w:rPr>
        <w:t>Designated Non-423 Corporation</w:t>
      </w:r>
      <w:r>
        <w:rPr>
          <w:rFonts w:ascii="Times New Roman;Times;serif" w:hAnsi="Times New Roman;Times;serif"/>
          <w:sz w:val="20"/>
        </w:rPr>
        <w:t>” means any Related Corporation or Affiliate selected by the Board to participate in the Non-423 Component.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(o)</w:t>
      </w:r>
      <w:r>
        <w:rPr>
          <w:rFonts w:ascii="Times New Roman;Times;serif" w:hAnsi="Times New Roman;Times;serif"/>
          <w:sz w:val="20"/>
        </w:rPr>
        <w:t>“</w:t>
      </w:r>
      <w:r>
        <w:rPr>
          <w:rFonts w:ascii="Times New Roman;Times;serif" w:hAnsi="Times New Roman;Times;serif"/>
          <w:b/>
          <w:i/>
          <w:sz w:val="20"/>
        </w:rPr>
        <w:t>Director</w:t>
      </w:r>
      <w:r>
        <w:rPr>
          <w:rFonts w:ascii="Times New Roman;Times;serif" w:hAnsi="Times New Roman;Times;serif"/>
          <w:sz w:val="20"/>
        </w:rPr>
        <w:t>” means a member of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(p)</w:t>
      </w:r>
      <w:r>
        <w:rPr>
          <w:rFonts w:ascii="Times New Roman;Times;serif" w:hAnsi="Times New Roman;Times;serif"/>
          <w:sz w:val="20"/>
        </w:rPr>
        <w:t>“</w:t>
      </w:r>
      <w:r>
        <w:rPr>
          <w:rFonts w:ascii="Times New Roman;Times;serif" w:hAnsi="Times New Roman;Times;serif"/>
          <w:b/>
          <w:i/>
          <w:sz w:val="20"/>
        </w:rPr>
        <w:t>Eligible Employee</w:t>
      </w:r>
      <w:r>
        <w:rPr>
          <w:rFonts w:ascii="Times New Roman;Times;serif" w:hAnsi="Times New Roman;Times;serif"/>
          <w:sz w:val="20"/>
        </w:rPr>
        <w:t>” means an Employee who meets the requirements set forth in the document(s) governing the Offering for eligibility to participate in the Offering, provided that such Employee also meets the requirements for eligibility to participate set forth in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(q)</w:t>
      </w:r>
      <w:r>
        <w:rPr>
          <w:rFonts w:ascii="Times New Roman;Times;serif" w:hAnsi="Times New Roman;Times;serif"/>
          <w:sz w:val="20"/>
        </w:rPr>
        <w:t>“</w:t>
      </w:r>
      <w:r>
        <w:rPr>
          <w:rFonts w:ascii="Times New Roman;Times;serif" w:hAnsi="Times New Roman;Times;serif"/>
          <w:b/>
          <w:i/>
          <w:sz w:val="20"/>
        </w:rPr>
        <w:t>Employee</w:t>
      </w:r>
      <w:r>
        <w:rPr>
          <w:rFonts w:ascii="Times New Roman;Times;serif" w:hAnsi="Times New Roman;Times;serif"/>
          <w:sz w:val="20"/>
        </w:rPr>
        <w:t>”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(r)</w:t>
      </w:r>
      <w:r>
        <w:rPr>
          <w:rFonts w:ascii="Times New Roman;Times;serif" w:hAnsi="Times New Roman;Times;serif"/>
          <w:sz w:val="20"/>
        </w:rPr>
        <w:t>“</w:t>
      </w:r>
      <w:r>
        <w:rPr>
          <w:rFonts w:ascii="Times New Roman;Times;serif" w:hAnsi="Times New Roman;Times;serif"/>
          <w:b/>
          <w:i/>
          <w:sz w:val="20"/>
        </w:rPr>
        <w:t>Employee Stock Purchase Plan</w:t>
      </w:r>
      <w:r>
        <w:rPr>
          <w:rFonts w:ascii="Times New Roman;Times;serif" w:hAnsi="Times New Roman;Times;serif"/>
          <w:sz w:val="20"/>
        </w:rPr>
        <w:t>” means a plan that grants Purchase Rights intended to be options issued under an “employee stock purchase plan,” as that term is defined in Section 423(b) of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w:t>
      </w:r>
      <w:r>
        <w:rPr>
          <w:rFonts w:ascii="Times New Roman;Times;serif" w:hAnsi="Times New Roman;Times;serif"/>
          <w:sz w:val="20"/>
        </w:rPr>
        <w:t>“</w:t>
      </w:r>
      <w:r>
        <w:rPr>
          <w:rFonts w:ascii="Times New Roman;Times;serif" w:hAnsi="Times New Roman;Times;serif"/>
          <w:b/>
          <w:i/>
          <w:sz w:val="20"/>
        </w:rPr>
        <w:t>Exchange Act</w:t>
      </w:r>
      <w:r>
        <w:rPr>
          <w:rFonts w:ascii="Times New Roman;Times;serif" w:hAnsi="Times New Roman;Times;serif"/>
          <w:sz w:val="20"/>
        </w:rPr>
        <w:t>” means the U.S. Securities Exchange Act of 1934, as amended and the rules and regulations promulgated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(t)</w:t>
      </w:r>
      <w:r>
        <w:rPr>
          <w:rFonts w:ascii="Times New Roman;Times;serif" w:hAnsi="Times New Roman;Times;serif"/>
          <w:sz w:val="20"/>
        </w:rPr>
        <w:t>“</w:t>
      </w:r>
      <w:r>
        <w:rPr>
          <w:rFonts w:ascii="Times New Roman;Times;serif" w:hAnsi="Times New Roman;Times;serif"/>
          <w:b/>
          <w:i/>
          <w:sz w:val="20"/>
        </w:rPr>
        <w:t>Fair Market Value</w:t>
      </w:r>
      <w:r>
        <w:rPr>
          <w:rFonts w:ascii="Times New Roman;Times;serif" w:hAnsi="Times New Roman;Times;serif"/>
          <w:sz w:val="20"/>
        </w:rPr>
        <w:t>” means, as of any date, the value of the Common Stock determined as follows: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w:t>
      </w:r>
      <w:r>
        <w:rPr>
          <w:rFonts w:ascii="Times New Roman;Times;serif" w:hAnsi="Times New Roman;Times;serif"/>
          <w:sz w:val="20"/>
        </w:rPr>
        <w:t>If the Common Stock is listed on any established stock exchange or traded on any established market, the Fair Market Value of a share of Common Stock will be the closing sales price for such stock as quoted on such exchange or market (or the exchange or market with the greatest volume of trading in the Common Stock) on the date of determination,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(ii)</w:t>
      </w:r>
      <w:r>
        <w:rPr>
          <w:rFonts w:ascii="Times New Roman;Times;serif" w:hAnsi="Times New Roman;Times;serif"/>
          <w:sz w:val="20"/>
        </w:rPr>
        <w:t>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 409A of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(u)</w:t>
      </w:r>
      <w:r>
        <w:rPr>
          <w:rFonts w:ascii="Times New Roman;Times;serif" w:hAnsi="Times New Roman;Times;serif"/>
          <w:sz w:val="20"/>
        </w:rPr>
        <w:t>“</w:t>
      </w:r>
      <w:r>
        <w:rPr>
          <w:rFonts w:ascii="Times New Roman;Times;serif" w:hAnsi="Times New Roman;Times;serif"/>
          <w:b/>
          <w:i/>
          <w:sz w:val="20"/>
        </w:rPr>
        <w:t>Governmental Body</w:t>
      </w:r>
      <w:r>
        <w:rPr>
          <w:rFonts w:ascii="Times New Roman;Times;serif" w:hAnsi="Times New Roman;Times;serif"/>
          <w:sz w:val="20"/>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LLC, the New York Stock Exchange and the Financial Industry Regulatory Authority,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(v)</w:t>
      </w:r>
      <w:r>
        <w:rPr>
          <w:rFonts w:ascii="Times New Roman;Times;serif" w:hAnsi="Times New Roman;Times;serif"/>
          <w:sz w:val="20"/>
        </w:rPr>
        <w:t>“</w:t>
      </w:r>
      <w:r>
        <w:rPr>
          <w:rFonts w:ascii="Times New Roman;Times;serif" w:hAnsi="Times New Roman;Times;serif"/>
          <w:b/>
          <w:i/>
          <w:sz w:val="20"/>
        </w:rPr>
        <w:t>Holding Period</w:t>
      </w:r>
      <w:r>
        <w:rPr>
          <w:rFonts w:ascii="Times New Roman;Times;serif" w:hAnsi="Times New Roman;Times;serif"/>
          <w:sz w:val="20"/>
        </w:rPr>
        <w:t>” means a period of up to one year from the Purchase Date during which a Participant may not sell shares of Common Stock acquired under the Plan on such Purchase Date, which Holding Period may be waived by the Board in its sole discretion.</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(w)</w:t>
      </w:r>
      <w:r>
        <w:rPr>
          <w:rFonts w:ascii="Times New Roman;Times;serif" w:hAnsi="Times New Roman;Times;serif"/>
          <w:sz w:val="20"/>
        </w:rPr>
        <w:t>“</w:t>
      </w:r>
      <w:r>
        <w:rPr>
          <w:rFonts w:ascii="Times New Roman;Times;serif" w:hAnsi="Times New Roman;Times;serif"/>
          <w:b/>
          <w:i/>
          <w:sz w:val="20"/>
        </w:rPr>
        <w:t>Non-423 Component</w:t>
      </w:r>
      <w:r>
        <w:rPr>
          <w:rFonts w:ascii="Times New Roman;Times;serif" w:hAnsi="Times New Roman;Times;serif"/>
          <w:sz w:val="20"/>
        </w:rPr>
        <w:t>” means the part of the Plan, which excludes the 423 Component, pursuant to which Purchase Rights that are not intended to satisfy the requirements for an Employee Stock Purchase Plan may be granted to Eligible Employees.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(x)</w:t>
      </w:r>
      <w:r>
        <w:rPr>
          <w:rFonts w:ascii="Times New Roman;Times;serif" w:hAnsi="Times New Roman;Times;serif"/>
          <w:sz w:val="20"/>
        </w:rPr>
        <w:t>“</w:t>
      </w:r>
      <w:r>
        <w:rPr>
          <w:rFonts w:ascii="Times New Roman;Times;serif" w:hAnsi="Times New Roman;Times;serif"/>
          <w:b/>
          <w:i/>
          <w:sz w:val="20"/>
        </w:rPr>
        <w:t>Offering</w:t>
      </w:r>
      <w:r>
        <w:rPr>
          <w:rFonts w:ascii="Times New Roman;Times;serif" w:hAnsi="Times New Roman;Times;serif"/>
          <w:sz w:val="20"/>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Times;serif" w:hAnsi="Times New Roman;Times;serif"/>
          <w:b/>
          <w:i/>
          <w:sz w:val="20"/>
        </w:rPr>
        <w:t>Offering Document</w:t>
      </w:r>
      <w:r>
        <w:rPr>
          <w:rFonts w:ascii="Times New Roman;Times;serif" w:hAnsi="Times New Roman;Times;serif"/>
          <w:sz w:val="20"/>
        </w:rPr>
        <w:t>” approved by the Board for that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(y)</w:t>
      </w:r>
      <w:r>
        <w:rPr>
          <w:rFonts w:ascii="Times New Roman;Times;serif" w:hAnsi="Times New Roman;Times;serif"/>
          <w:sz w:val="20"/>
        </w:rPr>
        <w:t>“</w:t>
      </w:r>
      <w:r>
        <w:rPr>
          <w:rFonts w:ascii="Times New Roman;Times;serif" w:hAnsi="Times New Roman;Times;serif"/>
          <w:b/>
          <w:i/>
          <w:sz w:val="20"/>
        </w:rPr>
        <w:t>Offering Date</w:t>
      </w:r>
      <w:r>
        <w:rPr>
          <w:rFonts w:ascii="Times New Roman;Times;serif" w:hAnsi="Times New Roman;Times;serif"/>
          <w:sz w:val="20"/>
        </w:rPr>
        <w:t>” means a date selected by the Board for an Offering to commence.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(z)</w:t>
      </w:r>
      <w:r>
        <w:rPr>
          <w:rFonts w:ascii="Times New Roman;Times;serif" w:hAnsi="Times New Roman;Times;serif"/>
          <w:sz w:val="20"/>
        </w:rPr>
        <w:t>“</w:t>
      </w:r>
      <w:r>
        <w:rPr>
          <w:rFonts w:ascii="Times New Roman;Times;serif" w:hAnsi="Times New Roman;Times;serif"/>
          <w:b/>
          <w:i/>
          <w:sz w:val="20"/>
        </w:rPr>
        <w:t>Officer</w:t>
      </w:r>
      <w:r>
        <w:rPr>
          <w:rFonts w:ascii="Times New Roman;Times;serif" w:hAnsi="Times New Roman;Times;serif"/>
          <w:sz w:val="20"/>
        </w:rPr>
        <w:t>” means a person who is an officer of the Company or a Related Corporation within the meaning of Section 16 of the Exchange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(aa)</w:t>
      </w:r>
      <w:r>
        <w:rPr>
          <w:rFonts w:ascii="Times New Roman;Times;serif" w:hAnsi="Times New Roman;Times;serif"/>
          <w:sz w:val="20"/>
        </w:rPr>
        <w:t>“</w:t>
      </w:r>
      <w:r>
        <w:rPr>
          <w:rFonts w:ascii="Times New Roman;Times;serif" w:hAnsi="Times New Roman;Times;serif"/>
          <w:b/>
          <w:i/>
          <w:sz w:val="20"/>
        </w:rPr>
        <w:t>Participant</w:t>
      </w:r>
      <w:r>
        <w:rPr>
          <w:rFonts w:ascii="Times New Roman;Times;serif" w:hAnsi="Times New Roman;Times;serif"/>
          <w:sz w:val="20"/>
        </w:rPr>
        <w:t>” means an Eligible Employee who holds an outstanding Purchase Right.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(bb)</w:t>
      </w:r>
      <w:r>
        <w:rPr>
          <w:rFonts w:ascii="Times New Roman;Times;serif" w:hAnsi="Times New Roman;Times;serif"/>
          <w:sz w:val="20"/>
        </w:rPr>
        <w:t>“</w:t>
      </w:r>
      <w:r>
        <w:rPr>
          <w:rFonts w:ascii="Times New Roman;Times;serif" w:hAnsi="Times New Roman;Times;serif"/>
          <w:b/>
          <w:i/>
          <w:sz w:val="20"/>
        </w:rPr>
        <w:t>Plan</w:t>
      </w:r>
      <w:r>
        <w:rPr>
          <w:rFonts w:ascii="Times New Roman;Times;serif" w:hAnsi="Times New Roman;Times;serif"/>
          <w:sz w:val="20"/>
        </w:rPr>
        <w:t>” means this Orchestra BioMed Holdings, Inc. 2026 Employee Stock Purchase Plan, as amended from time to time, including both the 423 Component and the Non-423 Component.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(cc)</w:t>
      </w:r>
      <w:r>
        <w:rPr>
          <w:rFonts w:ascii="Times New Roman;Times;serif" w:hAnsi="Times New Roman;Times;serif"/>
          <w:sz w:val="20"/>
        </w:rPr>
        <w:t>“</w:t>
      </w:r>
      <w:r>
        <w:rPr>
          <w:rFonts w:ascii="Times New Roman;Times;serif" w:hAnsi="Times New Roman;Times;serif"/>
          <w:b/>
          <w:i/>
          <w:sz w:val="20"/>
        </w:rPr>
        <w:t>Purchase Date</w:t>
      </w:r>
      <w:r>
        <w:rPr>
          <w:rFonts w:ascii="Times New Roman;Times;serif" w:hAnsi="Times New Roman;Times;serif"/>
          <w:sz w:val="20"/>
        </w:rPr>
        <w:t>” means one or more dates during an Offering selected by the Board on which Purchase Rights will be exercised and on which purchases of shares of Common Stock will be carried out in accordance with such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(dd)</w:t>
      </w:r>
      <w:r>
        <w:rPr>
          <w:rFonts w:ascii="Times New Roman;Times;serif" w:hAnsi="Times New Roman;Times;serif"/>
          <w:sz w:val="20"/>
        </w:rPr>
        <w:t>“</w:t>
      </w:r>
      <w:r>
        <w:rPr>
          <w:rFonts w:ascii="Times New Roman;Times;serif" w:hAnsi="Times New Roman;Times;serif"/>
          <w:b/>
          <w:i/>
          <w:sz w:val="20"/>
        </w:rPr>
        <w:t>Purchase Period</w:t>
      </w:r>
      <w:r>
        <w:rPr>
          <w:rFonts w:ascii="Times New Roman;Times;serif" w:hAnsi="Times New Roman;Times;serif"/>
          <w:sz w:val="20"/>
        </w:rPr>
        <w:t>” means a period of time specified within an Offering, generally beginning on the Offering Date or on the first Trading Day following a Purchase Date, and ending on a Purchase Date. An Offering may consist of one or more Purchase Periods.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(ee)</w:t>
      </w:r>
      <w:r>
        <w:rPr>
          <w:rFonts w:ascii="Times New Roman;Times;serif" w:hAnsi="Times New Roman;Times;serif"/>
          <w:sz w:val="20"/>
        </w:rPr>
        <w:t>“</w:t>
      </w:r>
      <w:r>
        <w:rPr>
          <w:rFonts w:ascii="Times New Roman;Times;serif" w:hAnsi="Times New Roman;Times;serif"/>
          <w:b/>
          <w:i/>
          <w:sz w:val="20"/>
        </w:rPr>
        <w:t>Purchase Right</w:t>
      </w:r>
      <w:r>
        <w:rPr>
          <w:rFonts w:ascii="Times New Roman;Times;serif" w:hAnsi="Times New Roman;Times;serif"/>
          <w:sz w:val="20"/>
        </w:rPr>
        <w:t>” means an option to purchase shares of Common Stock granted pursuant to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(ff)</w:t>
      </w:r>
      <w:r>
        <w:rPr>
          <w:rFonts w:ascii="Times New Roman;Times;serif" w:hAnsi="Times New Roman;Times;serif"/>
          <w:sz w:val="20"/>
        </w:rPr>
        <w:t>“</w:t>
      </w:r>
      <w:r>
        <w:rPr>
          <w:rFonts w:ascii="Times New Roman;Times;serif" w:hAnsi="Times New Roman;Times;serif"/>
          <w:b/>
          <w:i/>
          <w:sz w:val="20"/>
        </w:rPr>
        <w:t>Related Corporation</w:t>
      </w:r>
      <w:r>
        <w:rPr>
          <w:rFonts w:ascii="Times New Roman;Times;serif" w:hAnsi="Times New Roman;Times;serif"/>
          <w:sz w:val="20"/>
        </w:rPr>
        <w:t>” means any “parent corporation” or “subsidiary corporation” of the Company whether now or subsequently established, as those terms are defined in Sections 424(e) and (f), respectively, of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(gg)</w:t>
      </w:r>
      <w:r>
        <w:rPr>
          <w:rFonts w:ascii="Times New Roman;Times;serif" w:hAnsi="Times New Roman;Times;serif"/>
          <w:sz w:val="20"/>
        </w:rPr>
        <w:t>“</w:t>
      </w:r>
      <w:r>
        <w:rPr>
          <w:rFonts w:ascii="Times New Roman;Times;serif" w:hAnsi="Times New Roman;Times;serif"/>
          <w:b/>
          <w:i/>
          <w:sz w:val="20"/>
        </w:rPr>
        <w:t>Securities Act</w:t>
      </w:r>
      <w:r>
        <w:rPr>
          <w:rFonts w:ascii="Times New Roman;Times;serif" w:hAnsi="Times New Roman;Times;serif"/>
          <w:sz w:val="20"/>
        </w:rPr>
        <w:t>” means the U.S. Securities Act of 1933, as amended.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(hh)</w:t>
      </w:r>
      <w:r>
        <w:rPr>
          <w:rFonts w:ascii="Times New Roman;Times;serif" w:hAnsi="Times New Roman;Times;serif"/>
          <w:sz w:val="20"/>
        </w:rPr>
        <w:t>“</w:t>
      </w:r>
      <w:r>
        <w:rPr>
          <w:rFonts w:ascii="Times New Roman;Times;serif" w:hAnsi="Times New Roman;Times;serif"/>
          <w:b/>
          <w:i/>
          <w:sz w:val="20"/>
        </w:rPr>
        <w:t>Tax-Related Items</w:t>
      </w:r>
      <w:r>
        <w:rPr>
          <w:rFonts w:ascii="Times New Roman;Times;serif" w:hAnsi="Times New Roman;Times;serif"/>
          <w:sz w:val="20"/>
        </w:rPr>
        <w:t>”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(ii)</w:t>
      </w:r>
      <w:r>
        <w:rPr>
          <w:rFonts w:ascii="Times New Roman;Times;serif" w:hAnsi="Times New Roman;Times;serif"/>
          <w:sz w:val="20"/>
        </w:rPr>
        <w:t>“</w:t>
      </w:r>
      <w:r>
        <w:rPr>
          <w:rFonts w:ascii="Times New Roman;Times;serif" w:hAnsi="Times New Roman;Times;serif"/>
          <w:b/>
          <w:i/>
          <w:sz w:val="20"/>
        </w:rPr>
        <w:t>Trading Day</w:t>
      </w:r>
      <w:r>
        <w:rPr>
          <w:rFonts w:ascii="Times New Roman;Times;serif" w:hAnsi="Times New Roman;Times;serif"/>
          <w:sz w:val="20"/>
        </w:rPr>
        <w:t>” means any day on which the exchange(s) or market(s) on which shares of Common Stock are listed, including but not limited to the New York Stock Exchange, the Nasdaq Global Select Market, the Nasdaq Global Market, the Nasdaq Capital Market or any successors thereto, is open for trading.</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[Remainder of Page Intentionally Left Blank]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50" w:name="obio-20260630xex31d1.htm"/>
      <w:bookmarkStart w:id="1251" w:name="ksobio20260630xex31d1"/>
      <w:bookmarkEnd w:id="1250"/>
      <w:bookmarkEnd w:id="1251"/>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RULES 13a-14(a) AND 15d-14(a) UNDER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David P. Hochman, certify that:</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1.I have reviewed this Quarterly Report on Form 10-Q of Orchestra BioMed Holdings, Inc.;</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532" w:type="dxa"/>
        <w:jc w:val="left"/>
        <w:tblInd w:w="0" w:type="dxa"/>
        <w:tblLayout w:type="fixed"/>
        <w:tblCellMar>
          <w:top w:w="0" w:type="dxa"/>
          <w:left w:w="0" w:type="dxa"/>
          <w:bottom w:w="0" w:type="dxa"/>
          <w:right w:w="0" w:type="dxa"/>
        </w:tblCellMar>
      </w:tblPr>
      <w:tblGrid>
        <w:gridCol w:w="2056"/>
        <w:gridCol w:w="2476"/>
      </w:tblGrid>
      <w:tr>
        <w:trPr/>
        <w:tc>
          <w:tcPr>
            <w:tcW w:w="20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August 10, 2026</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P. Hochman</w:t>
            </w:r>
          </w:p>
        </w:tc>
      </w:tr>
      <w:tr>
        <w:trPr/>
        <w:tc>
          <w:tcPr>
            <w:tcW w:w="2056" w:type="dxa"/>
            <w:tcBorders/>
            <w:vAlign w:val="center"/>
          </w:tcPr>
          <w:p>
            <w:pPr>
              <w:pStyle w:val="TableContents"/>
              <w:bidi w:val="0"/>
              <w:spacing w:before="0" w:after="0"/>
              <w:ind w:left="0" w:right="0" w:hanging="0"/>
              <w:jc w:val="left"/>
              <w:rPr/>
            </w:pPr>
            <w:r>
              <w:rPr/>
              <w:t> </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P. Hochman</w:t>
            </w:r>
          </w:p>
        </w:tc>
      </w:tr>
      <w:tr>
        <w:trPr/>
        <w:tc>
          <w:tcPr>
            <w:tcW w:w="205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r>
        <w:trPr/>
        <w:tc>
          <w:tcPr>
            <w:tcW w:w="205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52" w:name="obio-20260630xex31d2.htm"/>
      <w:bookmarkStart w:id="1253" w:name="ksobio20260630xex31d2"/>
      <w:bookmarkEnd w:id="1252"/>
      <w:bookmarkEnd w:id="1253"/>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RULES 13a-14(a) AND 15d-14(a) UNDER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Andrew Taylor, certify that:</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1.I have reviewed this Quarterly Report on Form 10-Q of Orchestra BioMed Holdings, Inc.;</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472" w:type="dxa"/>
        <w:jc w:val="left"/>
        <w:tblInd w:w="0" w:type="dxa"/>
        <w:tblLayout w:type="fixed"/>
        <w:tblCellMar>
          <w:top w:w="0" w:type="dxa"/>
          <w:left w:w="0" w:type="dxa"/>
          <w:bottom w:w="0" w:type="dxa"/>
          <w:right w:w="0" w:type="dxa"/>
        </w:tblCellMar>
      </w:tblPr>
      <w:tblGrid>
        <w:gridCol w:w="2056"/>
        <w:gridCol w:w="2416"/>
      </w:tblGrid>
      <w:tr>
        <w:trPr/>
        <w:tc>
          <w:tcPr>
            <w:tcW w:w="20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August 10, 2026</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Andrew Taylor</w:t>
            </w:r>
          </w:p>
        </w:tc>
      </w:tr>
      <w:tr>
        <w:trPr/>
        <w:tc>
          <w:tcPr>
            <w:tcW w:w="2056" w:type="dxa"/>
            <w:tcBorders/>
            <w:vAlign w:val="center"/>
          </w:tcPr>
          <w:p>
            <w:pPr>
              <w:pStyle w:val="TableContents"/>
              <w:bidi w:val="0"/>
              <w:spacing w:before="0" w:after="0"/>
              <w:ind w:left="0" w:right="0" w:hanging="0"/>
              <w:jc w:val="both"/>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Taylor</w:t>
            </w:r>
          </w:p>
        </w:tc>
      </w:tr>
      <w:tr>
        <w:trPr/>
        <w:tc>
          <w:tcPr>
            <w:tcW w:w="2056" w:type="dxa"/>
            <w:tcBorders/>
            <w:vAlign w:val="center"/>
          </w:tcPr>
          <w:p>
            <w:pPr>
              <w:pStyle w:val="TableContents"/>
              <w:bidi w:val="0"/>
              <w:spacing w:before="0" w:after="0"/>
              <w:ind w:left="0" w:right="0" w:hanging="0"/>
              <w:jc w:val="both"/>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r>
        <w:trPr/>
        <w:tc>
          <w:tcPr>
            <w:tcW w:w="2056" w:type="dxa"/>
            <w:tcBorders/>
            <w:vAlign w:val="center"/>
          </w:tcPr>
          <w:p>
            <w:pPr>
              <w:pStyle w:val="TableContents"/>
              <w:bidi w:val="0"/>
              <w:spacing w:before="0" w:after="0"/>
              <w:ind w:left="0" w:right="0" w:hanging="0"/>
              <w:jc w:val="both"/>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54" w:name="obio-20260630xex32d1.htm"/>
      <w:bookmarkStart w:id="1255" w:name="ksobio20260630xex32d1"/>
      <w:bookmarkEnd w:id="1254"/>
      <w:bookmarkEnd w:id="1255"/>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Orchestra BioMed Holdings, Inc. (the “Company”) on Form 10-Q for the period ended June 30, 2026 as filed with the Securities and Exchange Commission on the date hereof (the “Report”), I, David P. Hochman, Chief Executive Officer of the Company, certify, pursuant to 18 U.S.C. §1350, as adopted pursuant to Section 906 of the Sarbanes-Oxley Act of 2002, that:</w:t>
      </w:r>
    </w:p>
    <w:p>
      <w:pPr>
        <w:pStyle w:val="TextBody"/>
        <w:bidi w:val="0"/>
        <w:spacing w:before="0" w:after="0"/>
        <w:ind w:left="0" w:right="0" w:hanging="0"/>
        <w:jc w:val="both"/>
        <w:rPr/>
      </w:pPr>
      <w:r>
        <w:rPr/>
        <w: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532" w:type="dxa"/>
        <w:jc w:val="left"/>
        <w:tblInd w:w="0" w:type="dxa"/>
        <w:tblLayout w:type="fixed"/>
        <w:tblCellMar>
          <w:top w:w="0" w:type="dxa"/>
          <w:left w:w="0" w:type="dxa"/>
          <w:bottom w:w="0" w:type="dxa"/>
          <w:right w:w="0" w:type="dxa"/>
        </w:tblCellMar>
      </w:tblPr>
      <w:tblGrid>
        <w:gridCol w:w="2056"/>
        <w:gridCol w:w="2476"/>
      </w:tblGrid>
      <w:tr>
        <w:trPr/>
        <w:tc>
          <w:tcPr>
            <w:tcW w:w="20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August 10, 2026</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P. Hochman</w:t>
            </w:r>
          </w:p>
        </w:tc>
      </w:tr>
      <w:tr>
        <w:trPr/>
        <w:tc>
          <w:tcPr>
            <w:tcW w:w="2056" w:type="dxa"/>
            <w:tcBorders/>
            <w:vAlign w:val="center"/>
          </w:tcPr>
          <w:p>
            <w:pPr>
              <w:pStyle w:val="TableContents"/>
              <w:bidi w:val="0"/>
              <w:spacing w:before="0" w:after="0"/>
              <w:ind w:left="0" w:right="0" w:hanging="0"/>
              <w:jc w:val="both"/>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P. Hochman</w:t>
            </w:r>
          </w:p>
        </w:tc>
      </w:tr>
      <w:tr>
        <w:trPr/>
        <w:tc>
          <w:tcPr>
            <w:tcW w:w="2056" w:type="dxa"/>
            <w:tcBorders/>
            <w:vAlign w:val="center"/>
          </w:tcPr>
          <w:p>
            <w:pPr>
              <w:pStyle w:val="TableContents"/>
              <w:bidi w:val="0"/>
              <w:spacing w:before="0" w:after="0"/>
              <w:ind w:left="0" w:right="0" w:hanging="0"/>
              <w:jc w:val="both"/>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r>
        <w:trPr/>
        <w:tc>
          <w:tcPr>
            <w:tcW w:w="2056" w:type="dxa"/>
            <w:tcBorders/>
            <w:vAlign w:val="center"/>
          </w:tcPr>
          <w:p>
            <w:pPr>
              <w:pStyle w:val="TableContents"/>
              <w:bidi w:val="0"/>
              <w:spacing w:before="0" w:after="0"/>
              <w:ind w:left="0" w:right="0" w:hanging="0"/>
              <w:jc w:val="both"/>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Orchestra BioMed Holdings, Inc. and will be retained by Orchestra BioMed Holdings, Inc.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56" w:name="obio-20260630xex32d2.htm"/>
      <w:bookmarkStart w:id="1257" w:name="ksobio20260630xex32d2"/>
      <w:bookmarkEnd w:id="1256"/>
      <w:bookmarkEnd w:id="1257"/>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Orchestra BioMed Holdings, Inc. (the “Company”) on Form 10-Q for the period ended June 30, 2026 as filed with the Securities and Exchange Commission on the date hereof (the “Report”), I, Andrew Taylor, Chief Financial Officer of the Company, certify, pursuant to 18 U.S.C. §1350, as adopted pursuant to Section 906 of the Sarbanes-Oxley Act of 2002, that:</w:t>
      </w:r>
    </w:p>
    <w:p>
      <w:pPr>
        <w:pStyle w:val="TextBody"/>
        <w:bidi w:val="0"/>
        <w:spacing w:before="0" w:after="0"/>
        <w:ind w:left="0" w:right="0" w:hanging="0"/>
        <w:jc w:val="both"/>
        <w:rPr/>
      </w:pPr>
      <w:r>
        <w:rPr/>
        <w: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472" w:type="dxa"/>
        <w:jc w:val="left"/>
        <w:tblInd w:w="0" w:type="dxa"/>
        <w:tblLayout w:type="fixed"/>
        <w:tblCellMar>
          <w:top w:w="0" w:type="dxa"/>
          <w:left w:w="0" w:type="dxa"/>
          <w:bottom w:w="0" w:type="dxa"/>
          <w:right w:w="0" w:type="dxa"/>
        </w:tblCellMar>
      </w:tblPr>
      <w:tblGrid>
        <w:gridCol w:w="2056"/>
        <w:gridCol w:w="2416"/>
      </w:tblGrid>
      <w:tr>
        <w:trPr/>
        <w:tc>
          <w:tcPr>
            <w:tcW w:w="20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August 10, 2026</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Andrew Taylor</w:t>
            </w:r>
          </w:p>
        </w:tc>
      </w:tr>
      <w:tr>
        <w:trPr/>
        <w:tc>
          <w:tcPr>
            <w:tcW w:w="2056" w:type="dxa"/>
            <w:tcBorders/>
            <w:vAlign w:val="center"/>
          </w:tcPr>
          <w:p>
            <w:pPr>
              <w:pStyle w:val="TableContents"/>
              <w:bidi w:val="0"/>
              <w:spacing w:before="0" w:after="0"/>
              <w:ind w:left="0" w:right="0" w:hanging="0"/>
              <w:jc w:val="both"/>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Taylor</w:t>
            </w:r>
          </w:p>
        </w:tc>
      </w:tr>
      <w:tr>
        <w:trPr/>
        <w:tc>
          <w:tcPr>
            <w:tcW w:w="2056" w:type="dxa"/>
            <w:tcBorders/>
            <w:vAlign w:val="center"/>
          </w:tcPr>
          <w:p>
            <w:pPr>
              <w:pStyle w:val="TableContents"/>
              <w:bidi w:val="0"/>
              <w:spacing w:before="0" w:after="0"/>
              <w:ind w:left="0" w:right="0" w:hanging="0"/>
              <w:jc w:val="both"/>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r>
        <w:trPr/>
        <w:tc>
          <w:tcPr>
            <w:tcW w:w="2056" w:type="dxa"/>
            <w:tcBorders/>
            <w:vAlign w:val="center"/>
          </w:tcPr>
          <w:p>
            <w:pPr>
              <w:pStyle w:val="TableContents"/>
              <w:bidi w:val="0"/>
              <w:spacing w:before="0" w:after="0"/>
              <w:ind w:left="0" w:right="0" w:hanging="0"/>
              <w:jc w:val="both"/>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Orchestra BioMed Holdings, Inc. and will be retained by Orchestra BioMed Holdings, Inc.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814114/000110465926051570/tm261627d1_def14a.htm" TargetMode="External"/><Relationship Id="rId4" Type="http://schemas.openxmlformats.org/officeDocument/2006/relationships/hyperlink" Target="https://www.sec.gov/ix?doc=/Archives/edgar/data/0001814114/000110465926051570/tm261627d1_def14a.htm" TargetMode="External"/><Relationship Id="rId5" Type="http://schemas.openxmlformats.org/officeDocument/2006/relationships/hyperlink" Target="https://www.sec.gov/Archives/edgar/data/1814114/000121390023006448/ea172444ex3-1_orchestra.htm" TargetMode="External"/><Relationship Id="rId6" Type="http://schemas.openxmlformats.org/officeDocument/2006/relationships/hyperlink" Target="https://www.sec.gov/Archives/edgar/data/1814114/000110465925109128/obio-20250930xex3d2.htm" TargetMode="External"/><Relationship Id="rId7" Type="http://schemas.openxmlformats.org/officeDocument/2006/relationships/hyperlink" Target="https://www.sec.gov/Archives/edgar/data/1814114/000155837024011899/obio-20240630xex3d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33360</Words>
  <Characters>183439</Characters>
  <CharactersWithSpaces>218069</CharactersWithSpaces>
  <Paragraphs>5380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