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5" w:lineRule="exact"/>
        <w:rPr>
          <w:sz w:val="24"/>
          <w:szCs w:val="24"/>
          <w:color w:val="auto"/>
        </w:rPr>
      </w:pPr>
    </w:p>
    <w:p>
      <w:pPr>
        <w:ind w:left="360" w:right="8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-225425</wp:posOffset>
            </wp:positionV>
            <wp:extent cx="122555" cy="1225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8" w:lineRule="exact"/>
        <w:rPr>
          <w:sz w:val="24"/>
          <w:szCs w:val="24"/>
          <w:color w:val="auto"/>
        </w:rPr>
      </w:pPr>
    </w:p>
    <w:p>
      <w:pPr>
        <w:ind w:left="360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-660400</wp:posOffset>
            </wp:positionV>
            <wp:extent cx="122555" cy="1225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5253990</wp:posOffset>
            </wp:positionH>
            <wp:positionV relativeFrom="paragraph">
              <wp:posOffset>-626110</wp:posOffset>
            </wp:positionV>
            <wp:extent cx="58420" cy="6394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3976370</wp:posOffset>
            </wp:positionH>
            <wp:positionV relativeFrom="paragraph">
              <wp:posOffset>-626110</wp:posOffset>
            </wp:positionV>
            <wp:extent cx="58420" cy="6394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-1648460</wp:posOffset>
            </wp:positionH>
            <wp:positionV relativeFrom="paragraph">
              <wp:posOffset>743585</wp:posOffset>
            </wp:positionV>
            <wp:extent cx="7046595" cy="474218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47421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3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60"/>
            <w:col w:w="8500"/>
          </w:cols>
          <w:pgMar w:left="460" w:top="217" w:right="359" w:bottom="1440" w:gutter="0" w:footer="0" w:header="0"/>
        </w:sectPr>
      </w:pP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Aryeh Jason</w:t>
        </w:r>
      </w:hyperlink>
    </w:p>
    <w:p>
      <w:pPr>
        <w:spacing w:after="0" w:line="29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120" w:right="300"/>
        <w:spacing w:after="0" w:line="343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ORCHESTRA BIOMED HOLDINGS, INC. 150 UNION SQUARE DRIVE</w:t>
      </w:r>
    </w:p>
    <w:p>
      <w:pPr>
        <w:spacing w:after="0" w:line="176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9"/>
        </w:trPr>
        <w:tc>
          <w:tcPr>
            <w:tcW w:w="1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NEW HOPE</w:t>
            </w:r>
          </w:p>
        </w:tc>
        <w:tc>
          <w:tcPr>
            <w:tcW w:w="10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18938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</w:tcPr>
          <w:p>
            <w:pPr>
              <w:spacing w:after="0" w:line="142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Orchestra BioMed Holdings, Inc.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OBIO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28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06/23/2026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8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7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6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4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4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1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5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41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  <w:tr>
        <w:trPr>
          <w:trHeight w:val="16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5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41"/>
        </w:trPr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  <w:tr>
        <w:trPr>
          <w:trHeight w:val="181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193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4.04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06/23/2026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42,553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06/23/2036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42,553</w:t>
            </w:r>
          </w:p>
        </w:tc>
        <w:tc>
          <w:tcPr>
            <w:tcW w:w="6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42,553</w:t>
            </w:r>
          </w:p>
        </w:tc>
        <w:tc>
          <w:tcPr>
            <w:tcW w:w="7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</w:tr>
      <w:tr>
        <w:trPr>
          <w:trHeight w:val="104"/>
        </w:trPr>
        <w:tc>
          <w:tcPr>
            <w:tcW w:w="680" w:type="dxa"/>
            <w:vAlign w:val="bottom"/>
          </w:tcPr>
          <w:p>
            <w:pPr>
              <w:ind w:left="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</w:p>
    <w:p>
      <w:pPr>
        <w:spacing w:after="0" w:line="9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The stock options will vest on the one year anniversary of June 23rd, 2026 (the "Grant Date"), subject to the Reporting Person's continuous service through such date.</w:t>
      </w:r>
    </w:p>
    <w:p>
      <w:pPr>
        <w:ind w:left="6600"/>
        <w:spacing w:after="0" w:line="18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/s/ Andrew Taylor, Attorney-in- </w:t>
      </w:r>
      <w:r>
        <w:rPr>
          <w:rFonts w:ascii="Times New Roman" w:cs="Times New Roman" w:eastAsia="Times New Roman" w:hAnsi="Times New Roman"/>
          <w:sz w:val="33"/>
          <w:szCs w:val="33"/>
          <w:color w:val="0000FF"/>
          <w:vertAlign w:val="subscript"/>
        </w:rPr>
        <w:t>06/25/2026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-27305</wp:posOffset>
            </wp:positionV>
            <wp:extent cx="135382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38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-20320</wp:posOffset>
            </wp:positionV>
            <wp:extent cx="18351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35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5586730</wp:posOffset>
            </wp:positionH>
            <wp:positionV relativeFrom="paragraph">
              <wp:posOffset>-85725</wp:posOffset>
            </wp:positionV>
            <wp:extent cx="48514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1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600" w:firstLine="2"/>
        <w:spacing w:after="0" w:line="336" w:lineRule="auto"/>
        <w:tabs>
          <w:tab w:leader="none" w:pos="176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3" Type="http://schemas.openxmlformats.org/officeDocument/2006/relationships/hyperlink" Target="http://www.sec.gov/cgi-bin/browse-edgar?action=getcompany&amp;CIK=0001376960" TargetMode="External"/><Relationship Id="rId14" Type="http://schemas.openxmlformats.org/officeDocument/2006/relationships/hyperlink" Target="http://www.sec.gov/cgi-bin/browse-edgar?action=getcompany&amp;CIK=000181411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2026-06-25T15:50:26Z</dcterms:created>
  <dcterms:modified xsi:type="dcterms:W3CDTF">2026-06-25T15:50:26Z</dcterms:modified>
</cp:coreProperties>
</file>