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tm2618372d1_s8.htm"/>
      <w:bookmarkStart w:id="1" w:name="kstm2618372d1_s8"/>
      <w:bookmarkEnd w:id="0"/>
      <w:bookmarkEnd w:id="1"/>
      <w:r>
        <w:rPr>
          <w:rFonts w:ascii="Times New Roman;Times;Serif" w:hAnsi="Times New Roman;Times;Serif"/>
          <w:b/>
          <w:i w:val="false"/>
          <w:caps w:val="false"/>
          <w:smallCaps w:val="false"/>
          <w:sz w:val="20"/>
        </w:rPr>
        <w:t>As filed with the Securities and Exchange Commission on June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S-8</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ORCHESTRA BIOMED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2660"/>
        <w:gridCol w:w="60"/>
        <w:gridCol w:w="1565"/>
      </w:tblGrid>
      <w:tr>
        <w:trPr/>
        <w:tc>
          <w:tcPr>
            <w:tcW w:w="26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92-2038755</w:t>
            </w:r>
          </w:p>
        </w:tc>
      </w:tr>
      <w:tr>
        <w:trPr/>
        <w:tc>
          <w:tcPr>
            <w:tcW w:w="26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 Union Square Drive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Hope, Pennsylvania 18928</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Orchestra BioMed Holdings, Inc. 2026 Employee Stock Purchase Plan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titles of the plans)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P. Hochman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 Union Square Drive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Hope, PA 18928</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(215) 862-5797</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and telephone number, including area code, of agent for service)</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Yariv Katz, Esq.</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Keith Pisani,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Paul Hastings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 Park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318-6000</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715" w:type="dxa"/>
        <w:jc w:val="left"/>
        <w:tblInd w:w="0" w:type="dxa"/>
        <w:tblLayout w:type="fixed"/>
        <w:tblCellMar>
          <w:top w:w="0" w:type="dxa"/>
          <w:left w:w="0" w:type="dxa"/>
          <w:bottom w:w="0" w:type="dxa"/>
          <w:right w:w="0" w:type="dxa"/>
        </w:tblCellMar>
      </w:tblPr>
      <w:tblGrid>
        <w:gridCol w:w="1835"/>
        <w:gridCol w:w="60"/>
        <w:gridCol w:w="230"/>
        <w:gridCol w:w="60"/>
        <w:gridCol w:w="2225"/>
        <w:gridCol w:w="60"/>
        <w:gridCol w:w="245"/>
      </w:tblGrid>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90" w:type="dxa"/>
            <w:gridSpan w:val="2"/>
            <w:tcBorders/>
            <w:vAlign w:val="center"/>
          </w:tcPr>
          <w:p>
            <w:pPr>
              <w:pStyle w:val="TableContents"/>
              <w:bidi w:val="0"/>
              <w:spacing w:before="0" w:after="283"/>
              <w:jc w:val="left"/>
              <w:rPr/>
            </w:pPr>
            <w:r>
              <w:rPr/>
              <w:t> </w:t>
            </w:r>
          </w:p>
        </w:tc>
        <w:tc>
          <w:tcPr>
            <w:tcW w:w="2285" w:type="dxa"/>
            <w:gridSpan w:val="2"/>
            <w:tcBorders/>
            <w:vAlign w:val="center"/>
          </w:tcPr>
          <w:p>
            <w:pPr>
              <w:pStyle w:val="TableContents"/>
              <w:bidi w:val="0"/>
              <w:spacing w:before="0" w:after="283"/>
              <w:jc w:val="left"/>
              <w:rPr/>
            </w:pPr>
            <w:r>
              <w:rPr/>
              <w:t> </w:t>
            </w:r>
          </w:p>
        </w:tc>
        <w:tc>
          <w:tcPr>
            <w:tcW w:w="305" w:type="dxa"/>
            <w:gridSpan w:val="2"/>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90" w:type="dxa"/>
            <w:gridSpan w:val="2"/>
            <w:tcBorders/>
            <w:vAlign w:val="center"/>
          </w:tcPr>
          <w:p>
            <w:pPr>
              <w:pStyle w:val="TableContents"/>
              <w:bidi w:val="0"/>
              <w:spacing w:before="0" w:after="283"/>
              <w:jc w:val="left"/>
              <w:rPr/>
            </w:pPr>
            <w:r>
              <w:rPr/>
              <w:t> </w:t>
            </w:r>
          </w:p>
        </w:tc>
        <w:tc>
          <w:tcPr>
            <w:tcW w:w="2285" w:type="dxa"/>
            <w:gridSpan w:val="2"/>
            <w:tcBorders/>
            <w:vAlign w:val="center"/>
          </w:tcPr>
          <w:p>
            <w:pPr>
              <w:pStyle w:val="TableContents"/>
              <w:bidi w:val="0"/>
              <w:spacing w:before="0" w:after="283"/>
              <w:jc w:val="left"/>
              <w:rPr/>
            </w:pPr>
            <w:r>
              <w:rPr/>
              <w:t> </w:t>
            </w:r>
          </w:p>
        </w:tc>
        <w:tc>
          <w:tcPr>
            <w:tcW w:w="305" w:type="dxa"/>
            <w:gridSpan w:val="2"/>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Orchestra BioMed Holdings, Inc. (the “Registrant” or the “Company”) is filing this Registration Statement with the Securities and Exchange Commission (the “SEC”) to register 750,000 shares of common stock, par value $0.0001 per share (“Common Stock”), of the Registrant reserved for issuance under the Orchestra BioMed Holdings, Inc. 2026 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SECTION 10(a)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containing the information specified in Part I will be sent or given to employees as specified by Rule 428(b)(1) of the Securities Act of 1933, as amended (the “Securities Act”). Such documents are not being filed with the SEC either as part of this Registration Statement or as prospectuses or prospectus supplements pursuant to Rule 424 of the Securities Act. Such documents and the documents incorporated by reference in this Registration Statement pursuant to Item 3 of Part II hereof, taken together, constitute a prospectus that meets the requirements of Section 10(a)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755"/>
        <w:gridCol w:w="4955"/>
      </w:tblGrid>
      <w:tr>
        <w:trPr/>
        <w:tc>
          <w:tcPr>
            <w:tcW w:w="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3.</w:t>
            </w:r>
          </w:p>
        </w:tc>
        <w:tc>
          <w:tcPr>
            <w:tcW w:w="49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INCORPORATION OF DOCUMENTS BY REFERENCE.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by the Registrant with the SEC are hereby incorporated by reference into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2" w:type="dxa"/>
            <w:tcBorders/>
            <w:vAlign w:val="center"/>
          </w:tcPr>
          <w:p>
            <w:pPr>
              <w:pStyle w:val="TableContents"/>
              <w:bidi w:val="0"/>
              <w:spacing w:before="0" w:after="283"/>
              <w:jc w:val="left"/>
              <w:rPr/>
            </w:pPr>
            <w:hyperlink r:id="rId2">
              <w:r>
                <w:rPr>
                  <w:rStyle w:val="InternetLink"/>
                  <w:rFonts w:ascii="Times New Roman;Times;Serif" w:hAnsi="Times New Roman;Times;Serif"/>
                  <w:sz w:val="20"/>
                </w:rPr>
                <w:t xml:space="preserve">The Registrant’s Annual Report on Form 10-K for the year ended December 31, 2025, filed with the SEC on March 12, 2026; </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7" w:type="dxa"/>
            <w:tcBorders/>
            <w:vAlign w:val="center"/>
          </w:tcPr>
          <w:p>
            <w:pPr>
              <w:pStyle w:val="TableContents"/>
              <w:bidi w:val="0"/>
              <w:spacing w:before="0" w:after="283"/>
              <w:jc w:val="left"/>
              <w:rPr/>
            </w:pPr>
            <w:hyperlink r:id="rId3">
              <w:r>
                <w:rPr>
                  <w:rStyle w:val="InternetLink"/>
                  <w:rFonts w:ascii="Times New Roman;Times;Serif" w:hAnsi="Times New Roman;Times;Serif"/>
                  <w:sz w:val="20"/>
                </w:rPr>
                <w:t xml:space="preserve">The Registrant’s Quarterly Report on Form 10-Q for the quarter ended March 31, 2026, filed with the SEC on May 12, 2026; </w:t>
              </w:r>
            </w:hyperlink>
          </w:p>
        </w:tc>
      </w:tr>
    </w:tbl>
    <w:p>
      <w:pPr>
        <w:pStyle w:val="TextBody"/>
        <w:bidi w:val="0"/>
        <w:spacing w:before="0" w:after="0"/>
        <w:ind w:left="0" w:right="0" w:hanging="0"/>
        <w:jc w:val="left"/>
        <w:rPr>
          <w:caps w:val="false"/>
          <w:smallCaps w:val="false"/>
        </w:rPr>
      </w:pPr>
      <w:r>
        <w:rPr>
          <w:caps w:val="false"/>
          <w:smallCaps w:val="false"/>
        </w:rPr>
        <w:t> </w:t>
      </w:r>
    </w:p>
    <w:tbl>
      <w:tblPr>
        <w:tblW w:w="9265" w:type="dxa"/>
        <w:jc w:val="left"/>
        <w:tblInd w:w="0" w:type="dxa"/>
        <w:tblLayout w:type="fixed"/>
        <w:tblCellMar>
          <w:top w:w="0" w:type="dxa"/>
          <w:left w:w="0" w:type="dxa"/>
          <w:bottom w:w="0" w:type="dxa"/>
          <w:right w:w="0" w:type="dxa"/>
        </w:tblCellMar>
      </w:tblPr>
      <w:tblGrid>
        <w:gridCol w:w="245"/>
        <w:gridCol w:w="902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020" w:type="dxa"/>
            <w:tcBorders/>
            <w:vAlign w:val="center"/>
          </w:tcPr>
          <w:p>
            <w:pPr>
              <w:pStyle w:val="TableContents"/>
              <w:bidi w:val="0"/>
              <w:spacing w:before="0" w:after="283"/>
              <w:jc w:val="left"/>
              <w:rPr/>
            </w:pPr>
            <w:r>
              <w:rPr>
                <w:rFonts w:ascii="Times New Roman;Times;Serif" w:hAnsi="Times New Roman;Times;Serif"/>
                <w:sz w:val="20"/>
              </w:rPr>
              <w:t xml:space="preserve">The Registrant’s Current Reports on Form 8-K filed with SEC on </w:t>
            </w:r>
            <w:hyperlink r:id="rId4">
              <w:r>
                <w:rPr>
                  <w:rStyle w:val="InternetLink"/>
                  <w:rFonts w:ascii="Times New Roman;Times;Serif" w:hAnsi="Times New Roman;Times;Serif"/>
                  <w:sz w:val="20"/>
                </w:rPr>
                <w:t>January 12, 2026</w:t>
              </w:r>
            </w:hyperlink>
            <w:r>
              <w:rPr>
                <w:rFonts w:ascii="Times New Roman;Times;Serif" w:hAnsi="Times New Roman;Times;Serif"/>
                <w:sz w:val="20"/>
              </w:rPr>
              <w:t xml:space="preserve"> and </w:t>
            </w:r>
            <w:hyperlink r:id="rId5">
              <w:r>
                <w:rPr>
                  <w:rStyle w:val="InternetLink"/>
                  <w:rFonts w:ascii="Times New Roman;Times;Serif" w:hAnsi="Times New Roman;Times;Serif"/>
                  <w:sz w:val="20"/>
                </w:rPr>
                <w:t>February 13, 2026</w:t>
              </w:r>
            </w:hyperlink>
            <w:r>
              <w:rPr>
                <w:rFonts w:ascii="Times New Roman;Times;Serif" w:hAnsi="Times New Roman;Times;Serif"/>
                <w:sz w:val="20"/>
              </w:rPr>
              <w:t xml:space="preserve">;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81" w:type="dxa"/>
            <w:tcBorders/>
            <w:vAlign w:val="center"/>
          </w:tcPr>
          <w:p>
            <w:pPr>
              <w:pStyle w:val="TableContents"/>
              <w:bidi w:val="0"/>
              <w:spacing w:before="0" w:after="283"/>
              <w:jc w:val="left"/>
              <w:rPr/>
            </w:pPr>
            <w:r>
              <w:rPr>
                <w:rFonts w:ascii="Times New Roman;Times;Serif" w:hAnsi="Times New Roman;Times;Serif"/>
                <w:sz w:val="20"/>
              </w:rPr>
              <w:t xml:space="preserve">The description of the Registrant’s Common Stock contained in </w:t>
            </w:r>
            <w:hyperlink r:id="rId6">
              <w:r>
                <w:rPr>
                  <w:rStyle w:val="InternetLink"/>
                  <w:rFonts w:ascii="Times New Roman;Times;Serif" w:hAnsi="Times New Roman;Times;Serif"/>
                  <w:sz w:val="20"/>
                </w:rPr>
                <w:t>Exhibit 4.21</w:t>
              </w:r>
            </w:hyperlink>
            <w:r>
              <w:rPr>
                <w:rFonts w:ascii="Times New Roman;Times;Serif" w:hAnsi="Times New Roman;Times;Serif"/>
                <w:sz w:val="20"/>
              </w:rPr>
              <w:t xml:space="preserve"> to the Annual Report on Form 10-K for the year ended December 31, 2025, filed with the SEC on March 12, 2026, including any amendment or reports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reports and other documents subsequently filed by the Registrant pursuant to Sections 13(a), 13(c), 14 or 15(d) of the Exchange Act prior to the filing of a post-effective amendment which indicates that all securities offered hereby have been sold or which deregisters all securities then remaining unsold, shall be deemed to be incorporated by reference into this Registration Statement and to be a part of this Registration Statement from the date of the filing of such reports and documents, except as to any portion of any future current report furnished under Items 2.02 or 7.01 of Form 8-K that is not deemed filed under such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that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provided or incorporated by reference in this Registration Statement or any related prospectus. The Registrant has not authorized anyone to provide you with different information. You should not assume that the information in this Registration Statement or any related prospectus is accurate as of any date other than the date on the front of the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contact the Registrant in writing or orally to request copies of the above-referenced filings, without charge (excluding exhibits to such documents unless such exhibits are specifically incorporated by reference into the information incorporated into this Registration Statement). Requests for such information should be directed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Orchestra BioMed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Union Square Drive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Hope, PA 18938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Chief Executive Officer</w:t>
      </w:r>
    </w:p>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55"/>
        <w:gridCol w:w="2990"/>
      </w:tblGrid>
      <w:tr>
        <w:trPr/>
        <w:tc>
          <w:tcPr>
            <w:tcW w:w="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4.</w:t>
            </w:r>
          </w:p>
        </w:tc>
        <w:tc>
          <w:tcPr>
            <w:tcW w:w="29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DESCRIPTION OF SECURITIES.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755"/>
        <w:gridCol w:w="4565"/>
      </w:tblGrid>
      <w:tr>
        <w:trPr/>
        <w:tc>
          <w:tcPr>
            <w:tcW w:w="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w:t>
            </w:r>
          </w:p>
        </w:tc>
        <w:tc>
          <w:tcPr>
            <w:tcW w:w="45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INTEREST OF NAMED EXPERTS AND COUNSEL.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755"/>
        <w:gridCol w:w="4925"/>
      </w:tblGrid>
      <w:tr>
        <w:trPr/>
        <w:tc>
          <w:tcPr>
            <w:tcW w:w="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6.</w:t>
            </w:r>
          </w:p>
        </w:tc>
        <w:tc>
          <w:tcPr>
            <w:tcW w:w="49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INDEMNIFICATION OF DIRECTORS AND OFFICERS.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of the General Corporation Law of the State of Delaware (“DGCL”) permits a corporation to eliminate or limit the personal liability of directors and officers of a corporation to the corporation or its stockholders for monetary damages for a breach of fiduciary duty as a director or officer, except where the director or officer breached his or her duty of loyalty to the corporation or its stockholders, failed to act in good faith, engaged in intentional misconduct or knowingly violated a law, authorized the payment of a dividend or approved a stock repurchase or redemption in violation of the DGCL or derived an improper personal benefit, or, with respect to any officer, any action by or in the right of the corporation. The Registrant’s certificate of incorporation (the “Certificate of Incorporation”) contains provisions that limit the liability of our directors and officers for monetary damages to the fullest extent permitted by the DGCL. Consequently, the Registrant’s directors and officers will not be personally liable to the Registrant or its stockholders for monetary damages for any breach of fiduciary duty as a director, except liability for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143"/>
        <w:gridCol w:w="10006"/>
      </w:tblGrid>
      <w:tr>
        <w:trPr/>
        <w:tc>
          <w:tcPr>
            <w:tcW w:w="5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breach of their duty of loyalty to the Registrant or its stockholders;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98"/>
        <w:gridCol w:w="10069"/>
      </w:tblGrid>
      <w:tr>
        <w:trPr/>
        <w:tc>
          <w:tcPr>
            <w:tcW w:w="38"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6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acts or omissions not in good faith or that involve intentional misconduct or a knowing violation of law;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with respect to any director, unlawful payments of dividends or unlawful stock repurchases or redemptions in violation of the DGCL;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25"/>
        <w:gridCol w:w="10030"/>
      </w:tblGrid>
      <w:tr>
        <w:trPr/>
        <w:tc>
          <w:tcPr>
            <w:tcW w:w="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transaction from which the director derived an improper personal benefit;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35"/>
        <w:gridCol w:w="10016"/>
      </w:tblGrid>
      <w:tr>
        <w:trPr/>
        <w:tc>
          <w:tcPr>
            <w:tcW w:w="5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1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with respect to any officer, any action by or in the right of the corporation.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also provides that if the DGCL is amended to permit further elimination or limitation of the personal liability of directors or officers, then the liability of the Registrant’s directors and officers will be eliminated or limited to the fullest extent permitted by the DGCL, as so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or she was or is a party or is threatened to be made a party to any threatened, pending or completed action, suit or proceeding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judgments, fines and amounts paid in settlement in connection with such action, suit or proceeding or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 The Certificate of Incorporation permits the Registrant to indemnify its directors, officers, employees and other agents to the maximum extent permitted by the DGCL, and the Registrant’s bylaws (the “Bylaws”) provide that the Registrant will indemnify its directors and officers and permit the Registrant to indemnify its employees and other agents, in each case to the extent not prohibited by the DGCL or any other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entered, and expects to continue to enter, into indemnification agreements with its directors and officers, that may be broader than the specific indemnification provisions contained in the DGCL. These agreements, among other things, require the Registrant to indemnify its directors and officers against liabilities that may arise by reason of their status or service. These indemnification agreements also require the Registrant to advance all expenses actually and reasonably incurred by the directors and executive officers in connection with any proceeding. The Registrant also maintains directors’ and officers’ liability insurance.</w:t>
      </w:r>
    </w:p>
    <w:p>
      <w:pPr>
        <w:pStyle w:val="TextBody"/>
        <w:bidi w:val="0"/>
        <w:spacing w:before="0" w:after="0"/>
        <w:ind w:left="0" w:right="0" w:hanging="0"/>
        <w:jc w:val="left"/>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755"/>
        <w:gridCol w:w="4430"/>
      </w:tblGrid>
      <w:tr>
        <w:trPr/>
        <w:tc>
          <w:tcPr>
            <w:tcW w:w="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w:t>
            </w:r>
          </w:p>
        </w:tc>
        <w:tc>
          <w:tcPr>
            <w:tcW w:w="44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EXEMPTION FROM REGISTRATION CLAIMED.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755"/>
        <w:gridCol w:w="1025"/>
      </w:tblGrid>
      <w:tr>
        <w:trPr/>
        <w:tc>
          <w:tcPr>
            <w:tcW w:w="755" w:type="dxa"/>
            <w:tcBorders/>
            <w:vAlign w:val="center"/>
          </w:tcPr>
          <w:p>
            <w:pPr>
              <w:pStyle w:val="TableContents"/>
              <w:bidi w:val="0"/>
              <w:spacing w:before="0" w:after="283"/>
              <w:jc w:val="left"/>
              <w:rPr>
                <w:b/>
                <w:sz w:val="20"/>
              </w:rPr>
            </w:pPr>
            <w:r>
              <w:rPr>
                <w:b/>
                <w:sz w:val="20"/>
              </w:rPr>
              <w:t>ITEM 8.</w:t>
            </w:r>
          </w:p>
        </w:tc>
        <w:tc>
          <w:tcPr>
            <w:tcW w:w="1025" w:type="dxa"/>
            <w:tcBorders/>
            <w:vAlign w:val="center"/>
          </w:tcPr>
          <w:p>
            <w:pPr>
              <w:pStyle w:val="TableContents"/>
              <w:bidi w:val="0"/>
              <w:spacing w:before="0" w:after="283"/>
              <w:jc w:val="left"/>
              <w:rPr>
                <w:b/>
                <w:sz w:val="20"/>
              </w:rPr>
            </w:pPr>
            <w:r>
              <w:rPr>
                <w:b/>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60"/>
        <w:gridCol w:w="9420"/>
      </w:tblGrid>
      <w:tr>
        <w:trPr/>
        <w:tc>
          <w:tcPr>
            <w:tcW w:w="72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r>
            <w:r>
              <w:rPr>
                <w:rFonts w:ascii="Times New Roman;Times;Serif" w:hAnsi="Times New Roman;Times;Serif"/>
                <w:b/>
                <w:sz w:val="20"/>
                <w:u w:val="single"/>
              </w:rPr>
              <w:t>Number</w:t>
            </w:r>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Description</w:t>
            </w:r>
          </w:p>
        </w:tc>
      </w:tr>
      <w:tr>
        <w:trPr/>
        <w:tc>
          <w:tcPr>
            <w:tcW w:w="725" w:type="dxa"/>
            <w:tcBorders/>
            <w:vAlign w:val="center"/>
          </w:tcPr>
          <w:p>
            <w:pPr>
              <w:pStyle w:val="TableContents"/>
              <w:bidi w:val="0"/>
              <w:spacing w:before="0" w:after="283"/>
              <w:jc w:val="center"/>
              <w:rPr/>
            </w:pPr>
            <w:hyperlink r:id="rId7">
              <w:r>
                <w:rPr>
                  <w:rStyle w:val="InternetLink"/>
                  <w:sz w:val="20"/>
                </w:rPr>
                <w:t>4.1</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r:id="rId8">
              <w:r>
                <w:rPr>
                  <w:rStyle w:val="InternetLink"/>
                  <w:rFonts w:ascii="Times New Roman;Times;Serif" w:hAnsi="Times New Roman;Times;Serif"/>
                  <w:sz w:val="20"/>
                </w:rPr>
                <w:t>Certificate of Incorporation of the Registrant (incorporated by reference to Exhibit 3.1 to the Current Report on Form 8-K filed by the Registrant on January 31, 2023)</w:t>
              </w:r>
            </w:hyperlink>
          </w:p>
        </w:tc>
      </w:tr>
      <w:tr>
        <w:trPr/>
        <w:tc>
          <w:tcPr>
            <w:tcW w:w="725" w:type="dxa"/>
            <w:tcBorders/>
            <w:vAlign w:val="center"/>
          </w:tcPr>
          <w:p>
            <w:pPr>
              <w:pStyle w:val="TableContents"/>
              <w:bidi w:val="0"/>
              <w:spacing w:before="0" w:after="283"/>
              <w:jc w:val="center"/>
              <w:rPr/>
            </w:pPr>
            <w:hyperlink r:id="rId9">
              <w:r>
                <w:rPr>
                  <w:rStyle w:val="InternetLink"/>
                  <w:sz w:val="20"/>
                </w:rPr>
                <w:t>4.2</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r:id="rId10">
              <w:r>
                <w:rPr>
                  <w:rStyle w:val="InternetLink"/>
                  <w:rFonts w:ascii="Times New Roman;Times;Serif" w:hAnsi="Times New Roman;Times;Serif"/>
                  <w:sz w:val="20"/>
                </w:rPr>
                <w:t>Certificate of Designation of Series A Convertible Preferred Stock of the Registrant (incorporated by reference to Exhibit 3.2 to the Quarterly Report on Form 10-Q filed by the Registrant on November 10, 2025)</w:t>
              </w:r>
            </w:hyperlink>
          </w:p>
        </w:tc>
      </w:tr>
      <w:tr>
        <w:trPr/>
        <w:tc>
          <w:tcPr>
            <w:tcW w:w="725" w:type="dxa"/>
            <w:tcBorders/>
            <w:vAlign w:val="center"/>
          </w:tcPr>
          <w:p>
            <w:pPr>
              <w:pStyle w:val="TableContents"/>
              <w:bidi w:val="0"/>
              <w:spacing w:before="0" w:after="283"/>
              <w:jc w:val="center"/>
              <w:rPr/>
            </w:pPr>
            <w:hyperlink r:id="rId11">
              <w:r>
                <w:rPr>
                  <w:rStyle w:val="InternetLink"/>
                  <w:sz w:val="20"/>
                </w:rPr>
                <w:t>4.3</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r:id="rId12">
              <w:r>
                <w:rPr>
                  <w:rStyle w:val="InternetLink"/>
                  <w:rFonts w:ascii="Times New Roman;Times;Serif" w:hAnsi="Times New Roman;Times;Serif"/>
                  <w:sz w:val="20"/>
                </w:rPr>
                <w:t>Bylaws of the Registrant (incorporated by reference to Exhibit 3.2 to the Quarterly Report on Form 10-Q filed by the Registrant on August 12, 2024)</w:t>
              </w:r>
            </w:hyperlink>
          </w:p>
        </w:tc>
      </w:tr>
      <w:tr>
        <w:trPr/>
        <w:tc>
          <w:tcPr>
            <w:tcW w:w="725" w:type="dxa"/>
            <w:tcBorders/>
            <w:vAlign w:val="center"/>
          </w:tcPr>
          <w:p>
            <w:pPr>
              <w:pStyle w:val="TableContents"/>
              <w:bidi w:val="0"/>
              <w:spacing w:before="0" w:after="283"/>
              <w:jc w:val="center"/>
              <w:rPr/>
            </w:pPr>
            <w:hyperlink w:anchor="tm2618372d1_ex5-1.htm">
              <w:r>
                <w:rPr>
                  <w:rStyle w:val="InternetLink"/>
                  <w:sz w:val="20"/>
                </w:rPr>
                <w:t>5.1*</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w:anchor="tm2618372d1_ex5-1.htm">
              <w:r>
                <w:rPr>
                  <w:rStyle w:val="InternetLink"/>
                  <w:rFonts w:ascii="Times New Roman;Times;Serif" w:hAnsi="Times New Roman;Times;Serif"/>
                  <w:sz w:val="20"/>
                </w:rPr>
                <w:t>Opinion of Paul Hastings LLP</w:t>
              </w:r>
            </w:hyperlink>
          </w:p>
        </w:tc>
      </w:tr>
      <w:tr>
        <w:trPr/>
        <w:tc>
          <w:tcPr>
            <w:tcW w:w="725" w:type="dxa"/>
            <w:tcBorders/>
            <w:vAlign w:val="center"/>
          </w:tcPr>
          <w:p>
            <w:pPr>
              <w:pStyle w:val="TableContents"/>
              <w:bidi w:val="0"/>
              <w:spacing w:before="0" w:after="283"/>
              <w:jc w:val="center"/>
              <w:rPr/>
            </w:pPr>
            <w:hyperlink w:anchor="tm2618372d1_ex23-1.htm">
              <w:r>
                <w:rPr>
                  <w:rStyle w:val="InternetLink"/>
                  <w:sz w:val="20"/>
                </w:rPr>
                <w:t>23.1*</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w:anchor="tm2618372d1_ex23-1.htm">
              <w:r>
                <w:rPr>
                  <w:rStyle w:val="InternetLink"/>
                  <w:rFonts w:ascii="Times New Roman;Times;Serif" w:hAnsi="Times New Roman;Times;Serif"/>
                  <w:sz w:val="20"/>
                </w:rPr>
                <w:t>Consent of Ernst &amp; Young LLP, independent registered public accounting firm of the Registrant</w:t>
              </w:r>
            </w:hyperlink>
          </w:p>
        </w:tc>
      </w:tr>
      <w:tr>
        <w:trPr/>
        <w:tc>
          <w:tcPr>
            <w:tcW w:w="725" w:type="dxa"/>
            <w:tcBorders/>
            <w:vAlign w:val="center"/>
          </w:tcPr>
          <w:p>
            <w:pPr>
              <w:pStyle w:val="TableContents"/>
              <w:bidi w:val="0"/>
              <w:spacing w:before="0" w:after="283"/>
              <w:jc w:val="center"/>
              <w:rPr/>
            </w:pPr>
            <w:hyperlink w:anchor="tm2618372d1_ex5-1.htm">
              <w:r>
                <w:rPr>
                  <w:rStyle w:val="InternetLink"/>
                  <w:sz w:val="20"/>
                </w:rPr>
                <w:t>23.2*</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w:anchor="tm2618372d1_ex5-1.htm">
              <w:r>
                <w:rPr>
                  <w:rStyle w:val="InternetLink"/>
                  <w:rFonts w:ascii="Times New Roman;Times;Serif" w:hAnsi="Times New Roman;Times;Serif"/>
                  <w:sz w:val="20"/>
                </w:rPr>
                <w:t>Consent of Paul Hastings LLP (included in Exhibit 5.1)</w:t>
              </w:r>
            </w:hyperlink>
          </w:p>
        </w:tc>
      </w:tr>
      <w:tr>
        <w:trPr/>
        <w:tc>
          <w:tcPr>
            <w:tcW w:w="725" w:type="dxa"/>
            <w:tcBorders/>
            <w:vAlign w:val="center"/>
          </w:tcPr>
          <w:p>
            <w:pPr>
              <w:pStyle w:val="TableContents"/>
              <w:bidi w:val="0"/>
              <w:spacing w:before="0" w:after="283"/>
              <w:jc w:val="center"/>
              <w:rPr/>
            </w:pPr>
            <w:hyperlink w:anchor="sp_001">
              <w:r>
                <w:rPr>
                  <w:rStyle w:val="InternetLink"/>
                  <w:sz w:val="20"/>
                </w:rPr>
                <w:t>24.1*</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w:anchor="sp_001">
              <w:r>
                <w:rPr>
                  <w:rStyle w:val="InternetLink"/>
                  <w:rFonts w:ascii="Times New Roman;Times;Serif" w:hAnsi="Times New Roman;Times;Serif"/>
                  <w:sz w:val="20"/>
                </w:rPr>
                <w:t>Power of Attorney is contained on the signature page</w:t>
              </w:r>
            </w:hyperlink>
          </w:p>
        </w:tc>
      </w:tr>
      <w:tr>
        <w:trPr/>
        <w:tc>
          <w:tcPr>
            <w:tcW w:w="725" w:type="dxa"/>
            <w:tcBorders/>
            <w:vAlign w:val="center"/>
          </w:tcPr>
          <w:p>
            <w:pPr>
              <w:pStyle w:val="TableContents"/>
              <w:bidi w:val="0"/>
              <w:spacing w:before="0" w:after="283"/>
              <w:jc w:val="center"/>
              <w:rPr/>
            </w:pPr>
            <w:hyperlink w:anchor="tm2618372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w:anchor="tm2618372d1_ex99-1.htm">
              <w:r>
                <w:rPr>
                  <w:rStyle w:val="InternetLink"/>
                  <w:rFonts w:ascii="Times New Roman;Times;Serif" w:hAnsi="Times New Roman;Times;Serif"/>
                  <w:sz w:val="20"/>
                </w:rPr>
                <w:t>Orchestra BioMed Holdings, Inc. 2026 Employee Stock Purchase Plan</w:t>
              </w:r>
            </w:hyperlink>
          </w:p>
        </w:tc>
      </w:tr>
      <w:tr>
        <w:trPr/>
        <w:tc>
          <w:tcPr>
            <w:tcW w:w="725" w:type="dxa"/>
            <w:tcBorders/>
            <w:vAlign w:val="center"/>
          </w:tcPr>
          <w:p>
            <w:pPr>
              <w:pStyle w:val="TableContents"/>
              <w:bidi w:val="0"/>
              <w:spacing w:before="0" w:after="283"/>
              <w:jc w:val="center"/>
              <w:rPr/>
            </w:pPr>
            <w:hyperlink w:anchor="tm2618372d1_ex-filingfees.htm">
              <w:r>
                <w:rPr>
                  <w:rStyle w:val="InternetLink"/>
                  <w:sz w:val="20"/>
                </w:rPr>
                <w:t>107*</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w:anchor="tm2618372d1_ex-filingfees.htm">
              <w:r>
                <w:rPr>
                  <w:rStyle w:val="InternetLink"/>
                  <w:rFonts w:ascii="Times New Roman;Times;Serif" w:hAnsi="Times New Roman;Times;Serif"/>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5995" w:type="dxa"/>
        <w:jc w:val="left"/>
        <w:tblInd w:w="0" w:type="dxa"/>
        <w:tblLayout w:type="fixed"/>
        <w:tblCellMar>
          <w:top w:w="0" w:type="dxa"/>
          <w:left w:w="0" w:type="dxa"/>
          <w:bottom w:w="0" w:type="dxa"/>
          <w:right w:w="0" w:type="dxa"/>
        </w:tblCellMar>
      </w:tblPr>
      <w:tblGrid>
        <w:gridCol w:w="140"/>
        <w:gridCol w:w="585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Filed herewith. </w:t>
            </w:r>
          </w:p>
        </w:tc>
      </w:tr>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855" w:type="dxa"/>
            <w:tcBorders/>
            <w:vAlign w:val="center"/>
          </w:tcPr>
          <w:p>
            <w:pPr>
              <w:pStyle w:val="TableContents"/>
              <w:bidi w:val="0"/>
              <w:spacing w:before="0" w:after="283"/>
              <w:jc w:val="left"/>
              <w:rPr/>
            </w:pPr>
            <w:r>
              <w:rPr/>
              <w:t> </w:t>
            </w:r>
            <w:r>
              <w:rPr>
                <w:rFonts w:ascii="Times New Roman;Times;Serif" w:hAnsi="Times New Roman;Times;Serif"/>
                <w:sz w:val="20"/>
              </w:rPr>
              <w:t>Indicates a management contract or compensatory plan or arrangement.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p_001"/>
      <w:bookmarkEnd w:id="2"/>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city of New York, State of New York, on June 23, 2026.</w:t>
      </w:r>
    </w:p>
    <w:p>
      <w:pPr>
        <w:pStyle w:val="TextBody"/>
        <w:bidi w:val="0"/>
        <w:spacing w:before="0" w:after="0"/>
        <w:ind w:left="0" w:right="0" w:hanging="0"/>
        <w:jc w:val="left"/>
        <w:rPr>
          <w:caps w:val="false"/>
          <w:smallCaps w:val="false"/>
        </w:rPr>
      </w:pPr>
      <w:r>
        <w:rPr>
          <w:caps w:val="false"/>
          <w:smallCaps w:val="false"/>
        </w:rPr>
        <w:t> </w:t>
      </w:r>
    </w:p>
    <w:tbl>
      <w:tblPr>
        <w:tblW w:w="3739" w:type="dxa"/>
        <w:jc w:val="left"/>
        <w:tblInd w:w="0" w:type="dxa"/>
        <w:tblLayout w:type="fixed"/>
        <w:tblCellMar>
          <w:top w:w="0" w:type="dxa"/>
          <w:left w:w="0" w:type="dxa"/>
          <w:bottom w:w="0" w:type="dxa"/>
          <w:right w:w="0" w:type="dxa"/>
        </w:tblCellMar>
      </w:tblPr>
      <w:tblGrid>
        <w:gridCol w:w="75"/>
        <w:gridCol w:w="784"/>
        <w:gridCol w:w="2880"/>
      </w:tblGrid>
      <w:tr>
        <w:trPr/>
        <w:tc>
          <w:tcPr>
            <w:tcW w:w="75" w:type="dxa"/>
            <w:tcBorders/>
            <w:vAlign w:val="center"/>
          </w:tcPr>
          <w:p>
            <w:pPr>
              <w:pStyle w:val="TableContents"/>
              <w:bidi w:val="0"/>
              <w:spacing w:before="0" w:after="283"/>
              <w:ind w:left="0" w:right="0" w:hanging="200"/>
              <w:jc w:val="left"/>
              <w:rPr/>
            </w:pPr>
            <w:r>
              <w:rPr/>
              <w:t> </w:t>
            </w:r>
          </w:p>
        </w:tc>
        <w:tc>
          <w:tcPr>
            <w:tcW w:w="366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ORCHESTRA BIOMED HOLDINGS, INC.</w:t>
            </w:r>
          </w:p>
        </w:tc>
      </w:tr>
      <w:tr>
        <w:trPr/>
        <w:tc>
          <w:tcPr>
            <w:tcW w:w="75"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left"/>
              <w:rPr/>
            </w:pPr>
            <w:r>
              <w:rPr/>
              <w:t> </w:t>
            </w:r>
          </w:p>
        </w:tc>
        <w:tc>
          <w:tcPr>
            <w:tcW w:w="28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200"/>
              <w:jc w:val="left"/>
              <w:rPr/>
            </w:pPr>
            <w:r>
              <w:rPr/>
              <w:t> </w:t>
            </w:r>
          </w:p>
        </w:tc>
        <w:tc>
          <w:tcPr>
            <w:tcW w:w="784"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By:</w:t>
            </w:r>
          </w:p>
        </w:tc>
        <w:tc>
          <w:tcPr>
            <w:tcW w:w="28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P. Hochman</w:t>
            </w:r>
          </w:p>
        </w:tc>
      </w:tr>
      <w:tr>
        <w:trPr/>
        <w:tc>
          <w:tcPr>
            <w:tcW w:w="75"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Name:</w:t>
            </w:r>
          </w:p>
        </w:tc>
        <w:tc>
          <w:tcPr>
            <w:tcW w:w="2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P. Hochman</w:t>
            </w:r>
          </w:p>
        </w:tc>
      </w:tr>
      <w:tr>
        <w:trPr/>
        <w:tc>
          <w:tcPr>
            <w:tcW w:w="75"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Title:</w:t>
            </w:r>
          </w:p>
        </w:tc>
        <w:tc>
          <w:tcPr>
            <w:tcW w:w="2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Executive Officer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KNOW ALL PERSONS BY THESE PRESENTS,</w:t>
      </w:r>
      <w:r>
        <w:rPr>
          <w:rFonts w:ascii="Times New Roman;Times;Serif" w:hAnsi="Times New Roman;Times;Serif"/>
          <w:b w:val="false"/>
          <w:i w:val="false"/>
          <w:caps w:val="false"/>
          <w:smallCaps w:val="false"/>
          <w:sz w:val="20"/>
        </w:rPr>
        <w:t xml:space="preserve"> that each person whose signature appears below constitutes and appoints David P. Hochman and Andrew L. Taylor, and each or any one of them, as his or her true and lawful attorneys-in-fact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290" w:type="dxa"/>
        <w:jc w:val="left"/>
        <w:tblInd w:w="0" w:type="dxa"/>
        <w:tblLayout w:type="fixed"/>
        <w:tblCellMar>
          <w:top w:w="0" w:type="dxa"/>
          <w:left w:w="0" w:type="dxa"/>
          <w:bottom w:w="28" w:type="dxa"/>
          <w:right w:w="0" w:type="dxa"/>
        </w:tblCellMar>
      </w:tblPr>
      <w:tblGrid>
        <w:gridCol w:w="1925"/>
        <w:gridCol w:w="60"/>
        <w:gridCol w:w="4070"/>
        <w:gridCol w:w="60"/>
        <w:gridCol w:w="1175"/>
      </w:tblGrid>
      <w:tr>
        <w:trPr/>
        <w:tc>
          <w:tcPr>
            <w:tcW w:w="19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40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1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9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070" w:type="dxa"/>
            <w:tcBorders/>
            <w:tcMar>
              <w:bottom w:w="0" w:type="dxa"/>
            </w:tcMar>
            <w:vAlign w:val="center"/>
          </w:tcPr>
          <w:p>
            <w:pPr>
              <w:pStyle w:val="TableContents"/>
              <w:bidi w:val="0"/>
              <w:spacing w:before="0" w:after="283"/>
              <w:jc w:val="left"/>
              <w:rPr/>
            </w:pPr>
            <w:r>
              <w:rPr/>
              <w:t> </w:t>
            </w:r>
          </w:p>
        </w:tc>
        <w:tc>
          <w:tcPr>
            <w:tcW w:w="1235" w:type="dxa"/>
            <w:gridSpan w:val="2"/>
            <w:tcBorders/>
            <w:tcMar>
              <w:bottom w:w="0" w:type="dxa"/>
            </w:tcMar>
            <w:vAlign w:val="center"/>
          </w:tcPr>
          <w:p>
            <w:pPr>
              <w:pStyle w:val="TableContents"/>
              <w:bidi w:val="0"/>
              <w:spacing w:before="0" w:after="283"/>
              <w:jc w:val="left"/>
              <w:rPr/>
            </w:pPr>
            <w:r>
              <w:rPr/>
              <w:t> </w:t>
            </w:r>
          </w:p>
        </w:tc>
      </w:tr>
      <w:tr>
        <w:trPr/>
        <w:tc>
          <w:tcPr>
            <w:tcW w:w="1925" w:type="dxa"/>
            <w:tcBorders/>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P. Hochman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P. Hochman</w:t>
            </w:r>
          </w:p>
        </w:tc>
        <w:tc>
          <w:tcPr>
            <w:tcW w:w="60" w:type="dxa"/>
            <w:tcBorders/>
            <w:tcMar>
              <w:bottom w:w="0" w:type="dxa"/>
            </w:tcMar>
            <w:vAlign w:val="center"/>
          </w:tcPr>
          <w:p>
            <w:pPr>
              <w:pStyle w:val="TableContents"/>
              <w:bidi w:val="0"/>
              <w:spacing w:before="0" w:after="283"/>
              <w:jc w:val="left"/>
              <w:rPr/>
            </w:pPr>
            <w:r>
              <w:rPr/>
              <w:t> </w:t>
            </w:r>
          </w:p>
        </w:tc>
        <w:tc>
          <w:tcPr>
            <w:tcW w:w="407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Chairperson and Director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Principal Executive Officer</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23, 2026</w:t>
            </w:r>
          </w:p>
        </w:tc>
      </w:tr>
      <w:tr>
        <w:trPr/>
        <w:tc>
          <w:tcPr>
            <w:tcW w:w="1925" w:type="dxa"/>
            <w:tcBorders/>
            <w:tcMar>
              <w:bottom w:w="0" w:type="dxa"/>
            </w:tcMar>
            <w:vAlign w:val="center"/>
          </w:tcPr>
          <w:p>
            <w:pPr>
              <w:pStyle w:val="TableContents"/>
              <w:bidi w:val="0"/>
              <w:spacing w:before="0" w:after="283"/>
              <w:jc w:val="left"/>
              <w:rPr/>
            </w:pPr>
            <w:r>
              <w:rPr/>
              <w:t> </w:t>
            </w:r>
          </w:p>
        </w:tc>
        <w:tc>
          <w:tcPr>
            <w:tcW w:w="4130" w:type="dxa"/>
            <w:gridSpan w:val="2"/>
            <w:tcBorders/>
            <w:tcMar>
              <w:bottom w:w="0" w:type="dxa"/>
            </w:tcMar>
            <w:vAlign w:val="center"/>
          </w:tcPr>
          <w:p>
            <w:pPr>
              <w:pStyle w:val="TableContents"/>
              <w:bidi w:val="0"/>
              <w:spacing w:before="0" w:after="283"/>
              <w:jc w:val="left"/>
              <w:rPr/>
            </w:pPr>
            <w:r>
              <w:rPr/>
              <w:t> </w:t>
            </w:r>
          </w:p>
        </w:tc>
        <w:tc>
          <w:tcPr>
            <w:tcW w:w="1235" w:type="dxa"/>
            <w:gridSpan w:val="2"/>
            <w:tcBorders/>
            <w:tcMar>
              <w:bottom w:w="0" w:type="dxa"/>
            </w:tcMar>
            <w:vAlign w:val="center"/>
          </w:tcPr>
          <w:p>
            <w:pPr>
              <w:pStyle w:val="TableContents"/>
              <w:bidi w:val="0"/>
              <w:spacing w:before="0" w:after="283"/>
              <w:jc w:val="left"/>
              <w:rPr/>
            </w:pPr>
            <w:r>
              <w:rPr/>
              <w:t> </w:t>
            </w:r>
          </w:p>
        </w:tc>
      </w:tr>
      <w:tr>
        <w:trPr/>
        <w:tc>
          <w:tcPr>
            <w:tcW w:w="1925" w:type="dxa"/>
            <w:tcBorders/>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Andrew L. Taylor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L. Taylor</w:t>
            </w:r>
          </w:p>
        </w:tc>
        <w:tc>
          <w:tcPr>
            <w:tcW w:w="60" w:type="dxa"/>
            <w:tcBorders/>
            <w:tcMar>
              <w:bottom w:w="0" w:type="dxa"/>
            </w:tcMar>
            <w:vAlign w:val="center"/>
          </w:tcPr>
          <w:p>
            <w:pPr>
              <w:pStyle w:val="TableContents"/>
              <w:bidi w:val="0"/>
              <w:spacing w:before="0" w:after="283"/>
              <w:jc w:val="left"/>
              <w:rPr/>
            </w:pPr>
            <w:r>
              <w:rPr/>
              <w:t> </w:t>
            </w:r>
          </w:p>
        </w:tc>
        <w:tc>
          <w:tcPr>
            <w:tcW w:w="407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Principal Financial Officer</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23, 2026</w:t>
            </w:r>
          </w:p>
        </w:tc>
      </w:tr>
      <w:tr>
        <w:trPr/>
        <w:tc>
          <w:tcPr>
            <w:tcW w:w="1925" w:type="dxa"/>
            <w:tcBorders/>
            <w:tcMar>
              <w:bottom w:w="0" w:type="dxa"/>
            </w:tcMar>
            <w:vAlign w:val="center"/>
          </w:tcPr>
          <w:p>
            <w:pPr>
              <w:pStyle w:val="TableContents"/>
              <w:bidi w:val="0"/>
              <w:spacing w:before="0" w:after="283"/>
              <w:jc w:val="left"/>
              <w:rPr/>
            </w:pPr>
            <w:r>
              <w:rPr/>
              <w:t> </w:t>
            </w:r>
          </w:p>
        </w:tc>
        <w:tc>
          <w:tcPr>
            <w:tcW w:w="4130" w:type="dxa"/>
            <w:gridSpan w:val="2"/>
            <w:tcBorders/>
            <w:tcMar>
              <w:bottom w:w="0" w:type="dxa"/>
            </w:tcMar>
            <w:vAlign w:val="center"/>
          </w:tcPr>
          <w:p>
            <w:pPr>
              <w:pStyle w:val="TableContents"/>
              <w:bidi w:val="0"/>
              <w:spacing w:before="0" w:after="283"/>
              <w:jc w:val="left"/>
              <w:rPr/>
            </w:pPr>
            <w:r>
              <w:rPr/>
              <w:t> </w:t>
            </w:r>
          </w:p>
        </w:tc>
        <w:tc>
          <w:tcPr>
            <w:tcW w:w="1235" w:type="dxa"/>
            <w:gridSpan w:val="2"/>
            <w:tcBorders/>
            <w:tcMar>
              <w:bottom w:w="0" w:type="dxa"/>
            </w:tcMar>
            <w:vAlign w:val="center"/>
          </w:tcPr>
          <w:p>
            <w:pPr>
              <w:pStyle w:val="TableContents"/>
              <w:bidi w:val="0"/>
              <w:spacing w:before="0" w:after="283"/>
              <w:jc w:val="left"/>
              <w:rPr/>
            </w:pPr>
            <w:r>
              <w:rPr/>
              <w:t> </w:t>
            </w:r>
          </w:p>
        </w:tc>
      </w:tr>
      <w:tr>
        <w:trPr/>
        <w:tc>
          <w:tcPr>
            <w:tcW w:w="1925" w:type="dxa"/>
            <w:tcBorders/>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Joshua Aiello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Joshua Aiello</w:t>
            </w:r>
          </w:p>
        </w:tc>
        <w:tc>
          <w:tcPr>
            <w:tcW w:w="60" w:type="dxa"/>
            <w:tcBorders/>
            <w:tcMar>
              <w:bottom w:w="0" w:type="dxa"/>
            </w:tcMar>
            <w:vAlign w:val="center"/>
          </w:tcPr>
          <w:p>
            <w:pPr>
              <w:pStyle w:val="TableContents"/>
              <w:bidi w:val="0"/>
              <w:spacing w:before="0" w:after="283"/>
              <w:jc w:val="left"/>
              <w:rPr/>
            </w:pPr>
            <w:r>
              <w:rPr/>
              <w:t> </w:t>
            </w:r>
          </w:p>
        </w:tc>
        <w:tc>
          <w:tcPr>
            <w:tcW w:w="407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Controller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Principal Accounting Officer</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23, 2026</w:t>
            </w:r>
          </w:p>
        </w:tc>
      </w:tr>
      <w:tr>
        <w:trPr/>
        <w:tc>
          <w:tcPr>
            <w:tcW w:w="19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070" w:type="dxa"/>
            <w:tcBorders/>
            <w:tcMar>
              <w:bottom w:w="0" w:type="dxa"/>
            </w:tcMar>
            <w:vAlign w:val="center"/>
          </w:tcPr>
          <w:p>
            <w:pPr>
              <w:pStyle w:val="TableContents"/>
              <w:bidi w:val="0"/>
              <w:spacing w:before="0" w:after="283"/>
              <w:jc w:val="left"/>
              <w:rPr/>
            </w:pPr>
            <w:r>
              <w:rPr/>
              <w:t> </w:t>
            </w:r>
          </w:p>
        </w:tc>
        <w:tc>
          <w:tcPr>
            <w:tcW w:w="1235" w:type="dxa"/>
            <w:gridSpan w:val="2"/>
            <w:tcBorders/>
            <w:tcMar>
              <w:bottom w:w="0" w:type="dxa"/>
            </w:tcMar>
            <w:vAlign w:val="center"/>
          </w:tcPr>
          <w:p>
            <w:pPr>
              <w:pStyle w:val="TableContents"/>
              <w:bidi w:val="0"/>
              <w:spacing w:before="0" w:after="283"/>
              <w:jc w:val="left"/>
              <w:rPr/>
            </w:pPr>
            <w:r>
              <w:rPr/>
              <w:t> </w:t>
            </w:r>
          </w:p>
        </w:tc>
      </w:tr>
      <w:tr>
        <w:trPr/>
        <w:tc>
          <w:tcPr>
            <w:tcW w:w="1925" w:type="dxa"/>
            <w:tcBorders/>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Jason Aryeh</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Aryeh</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0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23, 2026</w:t>
            </w:r>
          </w:p>
        </w:tc>
      </w:tr>
      <w:tr>
        <w:trPr/>
        <w:tc>
          <w:tcPr>
            <w:tcW w:w="1925" w:type="dxa"/>
            <w:tcBorders/>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 Cleary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Cleary</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0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Director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23, 2026</w:t>
            </w:r>
          </w:p>
        </w:tc>
      </w:tr>
      <w:tr>
        <w:trPr/>
        <w:tc>
          <w:tcPr>
            <w:tcW w:w="1925" w:type="dxa"/>
            <w:tcBorders/>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Pamela A. Connealy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Pamela A. Connealy</w:t>
            </w:r>
          </w:p>
        </w:tc>
        <w:tc>
          <w:tcPr>
            <w:tcW w:w="60" w:type="dxa"/>
            <w:tcBorders/>
            <w:tcMar>
              <w:bottom w:w="0" w:type="dxa"/>
            </w:tcMar>
            <w:vAlign w:val="center"/>
          </w:tcPr>
          <w:p>
            <w:pPr>
              <w:pStyle w:val="TableContents"/>
              <w:bidi w:val="0"/>
              <w:spacing w:before="0" w:after="283"/>
              <w:jc w:val="left"/>
              <w:rPr/>
            </w:pPr>
            <w:r>
              <w:rPr/>
              <w:t> </w:t>
            </w:r>
          </w:p>
        </w:tc>
        <w:tc>
          <w:tcPr>
            <w:tcW w:w="40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23, 2026</w:t>
            </w:r>
          </w:p>
        </w:tc>
      </w:tr>
      <w:tr>
        <w:trPr/>
        <w:tc>
          <w:tcPr>
            <w:tcW w:w="1925" w:type="dxa"/>
            <w:tcBorders/>
            <w:tcMar>
              <w:bottom w:w="0" w:type="dxa"/>
            </w:tcMar>
            <w:vAlign w:val="center"/>
          </w:tcPr>
          <w:p>
            <w:pPr>
              <w:pStyle w:val="TableContents"/>
              <w:bidi w:val="0"/>
              <w:spacing w:before="0" w:after="283"/>
              <w:jc w:val="left"/>
              <w:rPr/>
            </w:pPr>
            <w:r>
              <w:rPr/>
              <w:t> </w:t>
            </w:r>
          </w:p>
        </w:tc>
        <w:tc>
          <w:tcPr>
            <w:tcW w:w="4130" w:type="dxa"/>
            <w:gridSpan w:val="2"/>
            <w:tcBorders/>
            <w:tcMar>
              <w:bottom w:w="0" w:type="dxa"/>
            </w:tcMar>
            <w:vAlign w:val="center"/>
          </w:tcPr>
          <w:p>
            <w:pPr>
              <w:pStyle w:val="TableContents"/>
              <w:bidi w:val="0"/>
              <w:spacing w:before="0" w:after="283"/>
              <w:jc w:val="left"/>
              <w:rPr/>
            </w:pPr>
            <w:r>
              <w:rPr/>
              <w:t> </w:t>
            </w:r>
          </w:p>
        </w:tc>
        <w:tc>
          <w:tcPr>
            <w:tcW w:w="1235" w:type="dxa"/>
            <w:gridSpan w:val="2"/>
            <w:tcBorders/>
            <w:tcMar>
              <w:bottom w:w="0" w:type="dxa"/>
            </w:tcMar>
            <w:vAlign w:val="center"/>
          </w:tcPr>
          <w:p>
            <w:pPr>
              <w:pStyle w:val="TableContents"/>
              <w:bidi w:val="0"/>
              <w:spacing w:before="0" w:after="283"/>
              <w:jc w:val="left"/>
              <w:rPr/>
            </w:pPr>
            <w:r>
              <w:rPr/>
              <w:t> </w:t>
            </w:r>
          </w:p>
        </w:tc>
      </w:tr>
      <w:tr>
        <w:trPr/>
        <w:tc>
          <w:tcPr>
            <w:tcW w:w="1925" w:type="dxa"/>
            <w:tcBorders/>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Eric S. Fain, M.D.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S. Fain, M.D.</w:t>
            </w:r>
          </w:p>
        </w:tc>
        <w:tc>
          <w:tcPr>
            <w:tcW w:w="60" w:type="dxa"/>
            <w:tcBorders/>
            <w:tcMar>
              <w:bottom w:w="0" w:type="dxa"/>
            </w:tcMar>
            <w:vAlign w:val="center"/>
          </w:tcPr>
          <w:p>
            <w:pPr>
              <w:pStyle w:val="TableContents"/>
              <w:bidi w:val="0"/>
              <w:spacing w:before="0" w:after="283"/>
              <w:jc w:val="left"/>
              <w:rPr/>
            </w:pPr>
            <w:r>
              <w:rPr/>
              <w:t> </w:t>
            </w:r>
          </w:p>
        </w:tc>
        <w:tc>
          <w:tcPr>
            <w:tcW w:w="40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23, 2026</w:t>
            </w:r>
          </w:p>
        </w:tc>
      </w:tr>
      <w:tr>
        <w:trPr/>
        <w:tc>
          <w:tcPr>
            <w:tcW w:w="1925" w:type="dxa"/>
            <w:tcBorders/>
            <w:tcMar>
              <w:bottom w:w="0" w:type="dxa"/>
            </w:tcMar>
            <w:vAlign w:val="center"/>
          </w:tcPr>
          <w:p>
            <w:pPr>
              <w:pStyle w:val="TableContents"/>
              <w:bidi w:val="0"/>
              <w:spacing w:before="0" w:after="283"/>
              <w:jc w:val="left"/>
              <w:rPr/>
            </w:pPr>
            <w:r>
              <w:rPr/>
              <w:t> </w:t>
            </w:r>
          </w:p>
        </w:tc>
        <w:tc>
          <w:tcPr>
            <w:tcW w:w="4130" w:type="dxa"/>
            <w:gridSpan w:val="2"/>
            <w:tcBorders/>
            <w:tcMar>
              <w:bottom w:w="0" w:type="dxa"/>
            </w:tcMar>
            <w:vAlign w:val="center"/>
          </w:tcPr>
          <w:p>
            <w:pPr>
              <w:pStyle w:val="TableContents"/>
              <w:bidi w:val="0"/>
              <w:spacing w:before="0" w:after="283"/>
              <w:jc w:val="left"/>
              <w:rPr/>
            </w:pPr>
            <w:r>
              <w:rPr/>
              <w:t> </w:t>
            </w:r>
          </w:p>
        </w:tc>
        <w:tc>
          <w:tcPr>
            <w:tcW w:w="1235" w:type="dxa"/>
            <w:gridSpan w:val="2"/>
            <w:tcBorders/>
            <w:tcMar>
              <w:bottom w:w="0" w:type="dxa"/>
            </w:tcMar>
            <w:vAlign w:val="center"/>
          </w:tcPr>
          <w:p>
            <w:pPr>
              <w:pStyle w:val="TableContents"/>
              <w:bidi w:val="0"/>
              <w:spacing w:before="0" w:after="283"/>
              <w:jc w:val="left"/>
              <w:rPr/>
            </w:pPr>
            <w:r>
              <w:rPr/>
              <w:t> </w:t>
            </w:r>
          </w:p>
        </w:tc>
      </w:tr>
      <w:tr>
        <w:trPr/>
        <w:tc>
          <w:tcPr>
            <w:tcW w:w="1925" w:type="dxa"/>
            <w:tcBorders/>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Pacitti</w:t>
            </w:r>
          </w:p>
        </w:tc>
        <w:tc>
          <w:tcPr>
            <w:tcW w:w="60" w:type="dxa"/>
            <w:tcBorders/>
            <w:tcMar>
              <w:bottom w:w="0" w:type="dxa"/>
            </w:tcMar>
            <w:vAlign w:val="center"/>
          </w:tcPr>
          <w:p>
            <w:pPr>
              <w:pStyle w:val="TableContents"/>
              <w:bidi w:val="0"/>
              <w:spacing w:before="0" w:after="283"/>
              <w:jc w:val="left"/>
              <w:rPr/>
            </w:pPr>
            <w:r>
              <w:rPr/>
              <w:t> </w:t>
            </w:r>
          </w:p>
        </w:tc>
        <w:tc>
          <w:tcPr>
            <w:tcW w:w="4070"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7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23, 2026</w:t>
            </w:r>
          </w:p>
        </w:tc>
      </w:tr>
      <w:tr>
        <w:trPr/>
        <w:tc>
          <w:tcPr>
            <w:tcW w:w="1925" w:type="dxa"/>
            <w:tcBorders/>
            <w:tcMar>
              <w:bottom w:w="0" w:type="dxa"/>
            </w:tcMar>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David Pacitti</w:t>
            </w:r>
          </w:p>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070"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175" w:type="dxa"/>
            <w:vMerge w:val="continue"/>
            <w:tcBorders/>
            <w:tcMar>
              <w:bottom w:w="0" w:type="dxa"/>
            </w:tcMar>
            <w:vAlign w:val="center"/>
          </w:tcPr>
          <w:p>
            <w:pPr>
              <w:pStyle w:val="Normal"/>
              <w:bidi w:val="0"/>
              <w:jc w:val="left"/>
              <w:rPr/>
            </w:pPr>
            <w:r>
              <w:rPr/>
            </w:r>
          </w:p>
        </w:tc>
      </w:tr>
      <w:tr>
        <w:trPr/>
        <w:tc>
          <w:tcPr>
            <w:tcW w:w="1925" w:type="dxa"/>
            <w:tcBorders/>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John Mack</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Mack</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40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23, 2026</w:t>
            </w:r>
          </w:p>
        </w:tc>
      </w:tr>
      <w:tr>
        <w:trPr/>
        <w:tc>
          <w:tcPr>
            <w:tcW w:w="1925" w:type="dxa"/>
            <w:tcBorders/>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Darren R. Sherman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Darren R. Sherman</w:t>
            </w:r>
          </w:p>
        </w:tc>
        <w:tc>
          <w:tcPr>
            <w:tcW w:w="60" w:type="dxa"/>
            <w:tcBorders/>
            <w:tcMar>
              <w:bottom w:w="0" w:type="dxa"/>
            </w:tcMar>
            <w:vAlign w:val="center"/>
          </w:tcPr>
          <w:p>
            <w:pPr>
              <w:pStyle w:val="TableContents"/>
              <w:bidi w:val="0"/>
              <w:spacing w:before="0" w:after="283"/>
              <w:jc w:val="left"/>
              <w:rPr/>
            </w:pPr>
            <w:r>
              <w:rPr/>
              <w:t> </w:t>
            </w:r>
          </w:p>
        </w:tc>
        <w:tc>
          <w:tcPr>
            <w:tcW w:w="40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Operating Officer and Director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23,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 w:name="tm2618372d1_ex5-1.htm"/>
      <w:bookmarkStart w:id="4" w:name="kstm2618372d1_ex51"/>
      <w:bookmarkEnd w:id="3"/>
      <w:bookmarkEnd w:id="4"/>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82880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3"/>
                    <a:stretch>
                      <a:fillRect/>
                    </a:stretch>
                  </pic:blipFill>
                  <pic:spPr bwMode="auto">
                    <a:xfrm>
                      <a:off x="0" y="0"/>
                      <a:ext cx="1828800" cy="6191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Orchestra BioMed Holdings, Inc.</w:t>
        <w:br/>
        <w:t>150 Union Square Drive</w:t>
        <w:br/>
        <w:t>New Hope, PA 18938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Orchestra BioMed Holdings, Inc. - Registration Statement on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Orchestra BioMed Holdings,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preparation of the registration statement on Form S-8 to be filed by the Company with the U.S.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on the date hereof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to effect registration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of 750,000 shares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of the Company’s common stock, $0.0001 par value per share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reserved for future issuance under the Orchestra BioMed Holdings, Inc. 2026 Employee Stock Purchase Plan (the “</w:t>
      </w:r>
      <w:r>
        <w:rPr>
          <w:rFonts w:ascii="Times New Roman;Times;Serif" w:hAnsi="Times New Roman;Times;Serif"/>
          <w:b/>
          <w:i/>
          <w:caps w:val="false"/>
          <w:smallCaps w:val="false"/>
          <w:sz w:val="20"/>
        </w:rPr>
        <w:t>ESPP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counsel and for purposes of our opinion set forth below, we have examined and relied upon originals or copies, certified or otherwise identified to our satisfaction, of such documents, resolutions, certificates and instruments of the Company and corporate records furnished to us by the Company, and have reviewed certificates of public officials, statutes, records and such other instruments and documents as we have deemed necessary or appropriate as a basis for the opinion set forth below, including, without limitation: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827"/>
        <w:gridCol w:w="9242"/>
      </w:tblGrid>
      <w:tr>
        <w:trPr/>
        <w:tc>
          <w:tcPr>
            <w:tcW w:w="13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pPr>
            <w:r>
              <w:rPr/>
              <w:t>(i)</w:t>
            </w:r>
          </w:p>
        </w:tc>
        <w:tc>
          <w:tcPr>
            <w:tcW w:w="9242" w:type="dxa"/>
            <w:tcBorders/>
            <w:vAlign w:val="center"/>
          </w:tcPr>
          <w:p>
            <w:pPr>
              <w:pStyle w:val="TableContents"/>
              <w:bidi w:val="0"/>
              <w:spacing w:before="0" w:after="283"/>
              <w:jc w:val="left"/>
              <w:rPr/>
            </w:pPr>
            <w:r>
              <w:rPr/>
              <w:t>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(ii)</w:t>
            </w:r>
          </w:p>
        </w:tc>
        <w:tc>
          <w:tcPr>
            <w:tcW w:w="9913" w:type="dxa"/>
            <w:tcBorders/>
            <w:vAlign w:val="center"/>
          </w:tcPr>
          <w:p>
            <w:pPr>
              <w:pStyle w:val="TableContents"/>
              <w:bidi w:val="0"/>
              <w:spacing w:before="0" w:after="283"/>
              <w:jc w:val="left"/>
              <w:rPr/>
            </w:pPr>
            <w:r>
              <w:rPr/>
              <w:t>the Certificate of Incorporation of the Company (the “</w:t>
            </w:r>
            <w:r>
              <w:rPr>
                <w:b/>
                <w:i/>
              </w:rPr>
              <w:t>Certificate of Incorporation</w:t>
            </w:r>
            <w:r>
              <w:rPr/>
              <w:t>”), as certified as of June 23, 2026 by the Office of the Secretary of State of the State of Delaware;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1"/>
        <w:gridCol w:w="9837"/>
      </w:tblGrid>
      <w:tr>
        <w:trPr/>
        <w:tc>
          <w:tcPr>
            <w:tcW w:w="3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pPr>
            <w:r>
              <w:rPr/>
              <w:t>(iii)</w:t>
            </w:r>
          </w:p>
        </w:tc>
        <w:tc>
          <w:tcPr>
            <w:tcW w:w="9837" w:type="dxa"/>
            <w:tcBorders/>
            <w:vAlign w:val="center"/>
          </w:tcPr>
          <w:p>
            <w:pPr>
              <w:pStyle w:val="TableContents"/>
              <w:bidi w:val="0"/>
              <w:spacing w:before="0" w:after="283"/>
              <w:jc w:val="left"/>
              <w:rPr/>
            </w:pPr>
            <w:r>
              <w:rPr/>
              <w:t>the Amended and Restated Bylaws of the Company as presently in effect, as certified by an officer of the Company on June 23,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547"/>
        <w:gridCol w:w="9599"/>
      </w:tblGrid>
      <w:tr>
        <w:trPr/>
        <w:tc>
          <w:tcPr>
            <w:tcW w:w="5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pPr>
            <w:r>
              <w:rPr/>
              <w:t>(iv)</w:t>
            </w:r>
          </w:p>
        </w:tc>
        <w:tc>
          <w:tcPr>
            <w:tcW w:w="9599" w:type="dxa"/>
            <w:tcBorders/>
            <w:vAlign w:val="center"/>
          </w:tcPr>
          <w:p>
            <w:pPr>
              <w:pStyle w:val="TableContents"/>
              <w:bidi w:val="0"/>
              <w:spacing w:before="0" w:after="283"/>
              <w:jc w:val="left"/>
              <w:rPr/>
            </w:pPr>
            <w:r>
              <w:rPr/>
              <w:t>the ESPP and the form of subscription agreement related thereto;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(v)</w:t>
            </w:r>
          </w:p>
        </w:tc>
        <w:tc>
          <w:tcPr>
            <w:tcW w:w="9921" w:type="dxa"/>
            <w:tcBorders/>
            <w:vAlign w:val="center"/>
          </w:tcPr>
          <w:p>
            <w:pPr>
              <w:pStyle w:val="TableContents"/>
              <w:bidi w:val="0"/>
              <w:spacing w:before="0" w:after="283"/>
              <w:jc w:val="left"/>
              <w:rPr/>
            </w:pPr>
            <w:r>
              <w:rPr/>
              <w:t>a certificate, dated as of June 23, 2026, from the Office of the Secretary of State of the State of Delaware, certifying as to the existence and good standing of the Company in the State of Delaware (the “</w:t>
            </w:r>
            <w:r>
              <w:rPr>
                <w:b/>
                <w:i/>
              </w:rPr>
              <w:t>Good Standing Certificate</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5"/>
        <w:gridCol w:w="9853"/>
      </w:tblGrid>
      <w:tr>
        <w:trPr/>
        <w:tc>
          <w:tcPr>
            <w:tcW w:w="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pPr>
            <w:r>
              <w:rPr/>
              <w:t>(vi)</w:t>
            </w:r>
          </w:p>
        </w:tc>
        <w:tc>
          <w:tcPr>
            <w:tcW w:w="9853" w:type="dxa"/>
            <w:tcBorders/>
            <w:vAlign w:val="center"/>
          </w:tcPr>
          <w:p>
            <w:pPr>
              <w:pStyle w:val="TableContents"/>
              <w:bidi w:val="0"/>
              <w:spacing w:before="0" w:after="283"/>
              <w:jc w:val="left"/>
              <w:rPr/>
            </w:pPr>
            <w:r>
              <w:rPr/>
              <w:t>the resolutions adopted by the board of directors of the Company regarding the ESPP, and other matters related thereto, as certified by an officer of the Company on June 23, 2026;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72"/>
        <w:gridCol w:w="9796"/>
      </w:tblGrid>
      <w:tr>
        <w:trPr/>
        <w:tc>
          <w:tcPr>
            <w:tcW w:w="3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pPr>
            <w:r>
              <w:rPr/>
              <w:t>(vii)</w:t>
            </w:r>
          </w:p>
        </w:tc>
        <w:tc>
          <w:tcPr>
            <w:tcW w:w="9796" w:type="dxa"/>
            <w:tcBorders/>
            <w:vAlign w:val="center"/>
          </w:tcPr>
          <w:p>
            <w:pPr>
              <w:pStyle w:val="TableContents"/>
              <w:bidi w:val="0"/>
              <w:spacing w:before="0" w:after="283"/>
              <w:jc w:val="left"/>
              <w:rPr/>
            </w:pPr>
            <w:r>
              <w:rPr/>
              <w:t>the minutes of the Company’s 2026 annual meeting of stockholders at which the ESPP was approved by the Company’s stockholders, as certified by an officer of the Company on June 23,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847975" cy="257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2847975" cy="257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828800" cy="619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5"/>
                    <a:stretch>
                      <a:fillRect/>
                    </a:stretch>
                  </pic:blipFill>
                  <pic:spPr bwMode="auto">
                    <a:xfrm>
                      <a:off x="0" y="0"/>
                      <a:ext cx="1828800" cy="6191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Orchestra BioMed Holdings,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23,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we have made such investigations of law as we have deemed necessary or appropriate as a basis for the opinion set forth in this opinion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examination and in rendering the opinion expressed below, we have assumed, without independent investigation or verification: (i) the genuineness of all signatures on all agreements, instruments, corporate records, certificates and other documents submitted to us; (ii) the authenticity and completeness of all agreements, instruments, corporate records, certificates and other documents submitted to us as originals; (iii) that all agreements, instruments, corporate records, certificates and other documents submitted to us as certified, electronic, facsimile, conformed, photostatic or other copies conform to originals thereof, and that such originals are authentic and complete; (iv) the legal capacity, competency and authority of all individuals executing all agreements, instruments, corporate records, certificates and other documents; (v) the due authorization, execution and delivery of all agreements, instruments, corporate records, certificates and other documents by all parties thereto (other than the Company); (vi) that no documents submitted to us have been amended or terminated orally or in writing except as has been disclosed to us in writing; (vii) that the statements contained in the certificates and comparable documents of public officials, officers and representatives of the Company and other persons on which we have relied for the purposes of this opinion letter are true and correct on and as of the date hereof; (viii) that there has not been any change in the good standing status of the Company from that reported in the Good Standing Certificate; and (ix) that each of the officers and directors of the Company has properly exercised his or her fiduciary duties. As to all questions of fact material to this opinion letter, and as to the materiality of any fact or other matter referred to herein, we have relied (without independent investigation or verification) upon representations and certificates or comparable documents of officers and representatives of the Company. We have also assumed that the grants of purchase rights under the ESPP will be duly authorized by all necessary corporate action of the Company and duly granted and exercised in accordance with the requirements of law, the ESPP and the applicable subscription agreements. We have also assumed that upon the issuance of any Shares, the total number of shares of Common Stock issued and outstanding will not exceed the total number of shares of Common Stock that the Company is then authorized to issue under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in reliance thereon, and subject to the assumptions, limitations, qualifications and exceptions set forth herein, we are of the opinion that the Shares are duly authorized and, when issued and sold in accordance with the Registration Statement, the related prospectus, the ESPP and the applicable subscription agreements or forms of instrument evidencing purchase rights thereunder (including the receipt by the Company of the full consideration therefor),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any of the other assumptions, limitations, qualifications and exceptions stated elsewhere herein, we express no opinion with regard to the applicability or effect of the laws of any jurisdiction other than the General Corporation Law of the State of Delaware, as in effect on the date of this opinion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deals only with the specified legal issues expressly addressed herein, and you should not infer any opinion that is not explicitly stated herein from any matter addressed in this opinion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rendered solely in connection with the preparation and filing of the Registration Statement. This opinion letter is rendered as of the date hereof, and we assume no obligation to advise you or any other person with regard to any change after the date hereof in the circumstances or the law that may bear on the matters set forth herein even if the change may affect the legal analysis or a legal conclusion or other matters in this opinion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28800" cy="619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6"/>
                    <a:stretch>
                      <a:fillRect/>
                    </a:stretch>
                  </pic:blipFill>
                  <pic:spPr bwMode="auto">
                    <a:xfrm>
                      <a:off x="0" y="0"/>
                      <a:ext cx="1828800" cy="6191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Orchestra BioMed Holdings,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23,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Exhibit 5.1 to the Registration Statement. In giving such consent, we do not hereby admit that we are within the category of persons whose consent is required under Section 7 of the Securities Act or the rules or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Paul Hastings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color w:val="333333"/>
          <w:sz w:val="20"/>
        </w:rPr>
      </w:pPr>
      <w:bookmarkStart w:id="5" w:name="tm2618372d1_ex23-1.htm"/>
      <w:bookmarkStart w:id="6" w:name="kstm2618372d1_ex231"/>
      <w:bookmarkEnd w:id="5"/>
      <w:bookmarkEnd w:id="6"/>
      <w:r>
        <w:rPr>
          <w:rFonts w:ascii="Times New Roman;Times;Serif" w:hAnsi="Times New Roman;Times;Serif"/>
          <w:b/>
          <w:i w:val="false"/>
          <w:caps w:val="false"/>
          <w:smallCaps w:val="false"/>
          <w:color w:val="333333"/>
          <w:sz w:val="20"/>
        </w:rPr>
        <w:t>Exhibit 23.1</w:t>
      </w:r>
      <w:r>
        <w:br w:type="page"/>
      </w:r>
    </w:p>
    <w:p>
      <w:pPr>
        <w:pStyle w:val="TextBody"/>
        <w:bidi w:val="0"/>
        <w:spacing w:before="0" w:after="0"/>
        <w:ind w:left="0" w:right="0" w:hanging="0"/>
        <w:jc w:val="center"/>
        <w:rPr>
          <w:caps w:val="false"/>
          <w:smallCaps w:val="false"/>
          <w:color w:val="333333"/>
        </w:rPr>
      </w:pPr>
      <w:r>
        <w:rPr>
          <w:caps w:val="false"/>
          <w:smallCaps w:val="false"/>
          <w:color w:val="333333"/>
        </w:rPr>
        <w:t> </w:t>
      </w:r>
    </w:p>
    <w:p>
      <w:pPr>
        <w:pStyle w:val="TextBody"/>
        <w:bidi w:val="0"/>
        <w:spacing w:before="0" w:after="0"/>
        <w:ind w:left="0" w:right="0" w:hanging="0"/>
        <w:jc w:val="center"/>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Consent of Independent Registered Public Accounting Firm</w:t>
      </w:r>
    </w:p>
    <w:p>
      <w:pPr>
        <w:pStyle w:val="TextBody"/>
        <w:bidi w:val="0"/>
        <w:spacing w:before="0" w:after="0"/>
        <w:ind w:left="0" w:right="0" w:hanging="0"/>
        <w:jc w:val="left"/>
        <w:rPr>
          <w:caps w:val="false"/>
          <w:smallCaps w:val="false"/>
          <w:color w:val="333333"/>
        </w:rPr>
      </w:pPr>
      <w:r>
        <w:rPr>
          <w:caps w:val="false"/>
          <w:smallCaps w:val="false"/>
          <w:color w:val="333333"/>
        </w:rPr>
        <w:t> </w:t>
      </w:r>
    </w:p>
    <w:p>
      <w:pPr>
        <w:pStyle w:val="TextBody"/>
        <w:bidi w:val="0"/>
        <w:spacing w:before="0" w:after="0"/>
        <w:ind w:left="0" w:right="0" w:hanging="0"/>
        <w:jc w:val="left"/>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We consent to the incorporation by reference in the Registration Statement (Form S-8) pertaining to the Orchestra BioMed Holdings, Inc. 2026 Employee Stock Purchase Plan of Orchestra BioMed Holdings, Inc. of our report dated March 12, 2026, with respect to the consolidated financial statements of Orchestra BioMed Holdings, Inc. included in its Annual Report (Form 10-K) for the year ended December 31, 2025, filed with the Securities and Exchange Commission.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  </w:t>
      </w:r>
    </w:p>
    <w:p>
      <w:pPr>
        <w:pStyle w:val="TextBody"/>
        <w:bidi w:val="0"/>
        <w:spacing w:before="0" w:after="0"/>
        <w:ind w:left="0" w:right="0" w:hanging="0"/>
        <w:jc w:val="left"/>
        <w:rPr>
          <w:caps w:val="false"/>
          <w:smallCaps w:val="false"/>
          <w:color w:val="333333"/>
        </w:rPr>
      </w:pPr>
      <w:r>
        <w:rPr>
          <w:caps w:val="false"/>
          <w:smallCaps w:val="false"/>
          <w:color w:val="333333"/>
        </w:rPr>
        <w:t> </w:t>
      </w:r>
    </w:p>
    <w:p>
      <w:pPr>
        <w:pStyle w:val="TextBody"/>
        <w:bidi w:val="0"/>
        <w:spacing w:before="0" w:after="0"/>
        <w:ind w:left="0" w:right="0" w:hanging="0"/>
        <w:jc w:val="left"/>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Philadelphia, Pennsylvania</w:t>
      </w:r>
    </w:p>
    <w:p>
      <w:pPr>
        <w:pStyle w:val="TextBody"/>
        <w:bidi w:val="0"/>
        <w:spacing w:before="0" w:after="0"/>
        <w:ind w:left="0" w:right="0" w:hanging="0"/>
        <w:jc w:val="left"/>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June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 w:name="tm2618372d1_ex99-1.htm"/>
      <w:bookmarkStart w:id="8" w:name="kstm2618372d1_ex991"/>
      <w:bookmarkEnd w:id="7"/>
      <w:bookmarkEnd w:id="8"/>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Orchestra BioMed Holdings,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2026 Employee Stock Purchase Plan</w:t>
        <w:br/>
        <w:t>Adopted by the Board of Directors: April 22, 2026</w:t>
        <w:br/>
        <w:t>Approved by the Stockholders: June 23,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i w:val="false"/>
          <w:smallCaps/>
          <w:sz w:val="20"/>
        </w:rPr>
        <w:t>General;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Plan provides a means by which Eligible Employees of the Company and certain Designated Companies may be given an opportunity to purchase shares of Common Stock. The Plan permits the Company to grant a series of Purchase Rights to Eligible Employees under an Employee Stock Purchase Plan. In addition, the Plan permits the Company to grant a series of Purchase Rights to Eligible Employees that do not meet the requirements of an 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Except as otherwise provided in the Plan or determined by the Board, the Non-423 Component will operate and be administered in the same manner as the 423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Company, by means of the Plan, seeks to retain the services of such Eligible Employees, to secure and retain the services of new Employees and to provide incentives for such persons to exert maximum efforts for the success of the Company and its Related Corporations.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i w:val="false"/>
          <w:smallCaps/>
          <w:sz w:val="20"/>
        </w:rPr>
        <w:t>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Board or, to the extent set forth in Section 2(c), the Committee will administer the Plan. References herein to the Board shall be deemed to refer to the Committee except where context dictates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Board will have the power, subject to, and within the limitations of, the express provisions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To determine how and when Purchase Rights will be granted and the provisions of each Offering (which need not be identical).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To designate from time to time (A) which Related Corporations will be eligible to participate in the Plan as Designated 423 Corporations, (B) which Related Corporations or Affiliates will be eligible to participate in the Plan as Designated Non-423 Corporations, or (C) which Designated Companies will participate in each separate Offering (to the extent that the Company makes separate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To settle all controversies regarding the Plan and Purchase Rights granted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w:t>
      </w:r>
      <w:r>
        <w:rPr>
          <w:rFonts w:ascii="Times New Roman;Times;Serif" w:hAnsi="Times New Roman;Times;Serif"/>
          <w:b w:val="false"/>
          <w:i w:val="false"/>
          <w:caps w:val="false"/>
          <w:smallCaps w:val="false"/>
          <w:sz w:val="20"/>
        </w:rPr>
        <w:t>To suspend or terminate the Plan at any time as provided in Section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           </w:t>
      </w:r>
      <w:r>
        <w:rPr>
          <w:rFonts w:ascii="Times New Roman;Times;Serif" w:hAnsi="Times New Roman;Times;Serif"/>
          <w:b w:val="false"/>
          <w:i w:val="false"/>
          <w:caps w:val="false"/>
          <w:smallCaps w:val="false"/>
          <w:sz w:val="20"/>
        </w:rPr>
        <w:t>To amend the Plan at any time as provided in Section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(vii)          </w:t>
      </w:r>
      <w:r>
        <w:rPr>
          <w:rFonts w:ascii="Times New Roman;Times;Serif" w:hAnsi="Times New Roman;Times;Serif"/>
          <w:b w:val="false"/>
          <w:i w:val="false"/>
          <w:caps w:val="false"/>
          <w:smallCaps w:val="false"/>
          <w:sz w:val="20"/>
        </w:rPr>
        <w:t>Generally, to exercise such powers and to perform such acts as it deems necessary, or expedient to promote the best interests of the Company and its Related Corporations and to carry out the intent that the Plan be treated as an Employee Stock Purchase Plan with respect to the 423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(viii)         </w:t>
      </w:r>
      <w:r>
        <w:rPr>
          <w:rFonts w:ascii="Times New Roman;Times;Serif" w:hAnsi="Times New Roman;Times;Serif"/>
          <w:b w:val="false"/>
          <w:i w:val="false"/>
          <w:caps w:val="false"/>
          <w:smallCaps w:val="false"/>
          <w:sz w:val="20"/>
        </w:rPr>
        <w:t>To adopt such rules, procedures and sub-plans as are necessary or appropriate to permit or facilitate participation in the Plan by Employees who are foreign nationals, or employed or located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Designated Non-423 Corporation, do not have to comply with the requirements of Section 423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one or more officers of the Company or other persons or groups of persons as it deems necessary, appropriate or advisable under conditions or limitations that it may set at or after the time of the delegation. The Board may retain the authority to concurrently administer the Plan with the Committee and may, at any time, revest in the Board some or all of the powers previously delegated. Whether or not the Board has delegated administration of the Plan to a Committee or either of them have delegated authority to other persons or groups of persons, the Board will have the final power to determine all questions of policy and expediency that may arise in the administration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All determinations, interpretations and constructions made by the Board in good faith will not be subject to review by any person and will be final, binding and conclusive on all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w:t>
      </w:r>
      <w:r>
        <w:rPr>
          <w:rFonts w:ascii="Times New Roman;Times;Serif" w:hAnsi="Times New Roman;Times;Serif"/>
          <w:b/>
          <w:i w:val="false"/>
          <w:smallCaps/>
          <w:sz w:val="20"/>
        </w:rPr>
        <w:t>Shares of Common Stock Subject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Subject to the provisions of Section 11(a) relating to Capitalization Adjustments, the maximum number of shares of Common Stock that may be issued under the Plan will not exceed 750,000 shares of Common Stock. The limitation set forth in this section may be used to satisfy purchases of shares of Common Stock under either the 423 Component or the Non-423 Component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If any Purchase Right granted under the Plan terminates without having been exercised in full, the shares of Common Stock not purchased under such Purchase Right will again become available for issuance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stock purchasable under the Plan will be shares of authorized but unissued or reacquired Common Stock, including shares repurchased by the Company on the open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w:t>
      </w:r>
      <w:r>
        <w:rPr>
          <w:rFonts w:ascii="Times New Roman;Times;Serif" w:hAnsi="Times New Roman;Times;Serif"/>
          <w:b/>
          <w:i w:val="false"/>
          <w:smallCaps/>
          <w:sz w:val="20"/>
        </w:rPr>
        <w:t>Grant of Purchase Rights;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If a Participant has more than one Purchase Right outstanding under the Plan, unless he or she otherwise indicates in forms delivered to the Company or a third party designated by the Company (each, a “</w:t>
      </w:r>
      <w:r>
        <w:rPr>
          <w:rFonts w:ascii="Times New Roman;Times;Serif" w:hAnsi="Times New Roman;Times;Serif"/>
          <w:b/>
          <w:i/>
          <w:caps w:val="false"/>
          <w:smallCaps w:val="false"/>
          <w:sz w:val="20"/>
        </w:rPr>
        <w:t>Company Designee</w:t>
      </w:r>
      <w:r>
        <w:rPr>
          <w:rFonts w:ascii="Times New Roman;Times;Serif" w:hAnsi="Times New Roman;Times;Serif"/>
          <w:b w:val="false"/>
          <w:i w:val="false"/>
          <w:caps w:val="false"/>
          <w:smallCaps w:val="false"/>
          <w:sz w:val="20"/>
        </w:rPr>
        <w:t>”):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w:t>
      </w:r>
      <w:r>
        <w:rPr>
          <w:rFonts w:ascii="Times New Roman;Times;Serif" w:hAnsi="Times New Roman;Times;Serif"/>
          <w:b/>
          <w:i w:val="false"/>
          <w:smallCaps/>
          <w:sz w:val="20"/>
        </w:rPr>
        <w:t>Eligibility.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Purchase Rights may be granted only to Employees of the Company or, as the Board may designate in accordance with Section 2(b), to Employees of a Related Corporation or an Affiliate. Except as provided in Section 5(b) or as required by Applicable Law, an Employee will not be eligible to be granted Purchase Rights unless, on the Offering Date, the Employee has been in the employ of the Company or the Related Corporation or an Affiliate, as the case may be, for such continuous period preceding such Offering Date as the Board may require, but in no event will the required period of continuous employment be equal to or greater than two years with respect to the 423 Component. In addition, the Board may (unless prohibited by Applicable Law) provide that no Employee will be eligible to be granted Purchase Rights under the Plan unless, on the Offering Date, such Employee’s customary employment with the Company, the Related Corporation, or the Affiliate is more than 20 hours per week and more than five months per calendar year or such other criteria as the Board may determine consistent with Section 423 of the Code, with respect to the 423 Component. The Board may also exclude from participation in the Plan or any Offering Employees who are “highly compensated employees” (within the meaning of Section 423(b)(4)(D) of the Code) of the Company or a Related Corporation or a subset of such highly compensated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Board may provide that each person who, during the course of an Offering, is an Eligible Employee not currently participating in the current Offering (which shall, for avoidance of doubt, include any Eligible Employee that withdrew from the current Offering pursuant to Section 7(b)) will on a date or dates specified in the Offering, if the Eligible Employee so elects, receive a Purchase Right under that Offering, which Purchase Right will thereafter be deemed to be a part of that Offering; provided, however, if such an Eligible Employee previously withdrew from the current Offering pursuant to Section 7(b), such Eligible Employee shall only be permitted to rejoin the Offering after the first exercise of Purchase Rights following the Eligible Employee’s withdrawal. Such Purchase Right will have the same characteristics as any Purchase Rights originally granted under that Offering, as described herein, except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the date on which such Purchase Right is granted will be the “Offering Date” of such Purchase Right for all purposes, including determination of the exercise price of such Purchase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the period of the Offering with respect to such Purchase Right will begin on its Offering Date and end coincident with the end of such Offering;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the Board may provide that if such person first becomes an Eligible Employee within a specified period of time before the end of the Offering, he or she will not receive any Purchase Right under that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With respect to the 423 Component, no Employee will be eligible for the grant of any Purchase Rights if, immediately after any such Purchase Rights are granted, such Employee owns stock possessing 5% or more of the total combined voting power or value of all classes of stock of the Company or of any Related Corporation. For purposes of this Section 5(c), the rules of Section 424(d) of the Code will apply in determining the stock ownership of any Employee, and stock that such Employee may purchase under all outstanding Purchase Rights and options will be treated as stock owned by such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With respect to the 423 Component, as specified by Section 423(b)(8) of the Code, an Eligible Employee may be granted Purchase Rights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US $25,000 of Fair Market Value of such stock (determined at the time such rights are granted, and which, with respect to the Plan, will be determined as of their respective Offering Dates) for each calendar year in which such rights are outstanding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Officers of the Company and any Designated Company, if they are otherwise Eligible Employees, will be eligible to participate in Offerings under the Plan. Notwithstanding the foregoing, the Board may (unless prohibited by Applicable Law) provide in an Offering that Employees who are highly compensated Employees within the meaning of Section 423(b)(4)(D) of the Code will not be eligible to participate.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w:t>
      </w:r>
      <w:r>
        <w:rPr>
          <w:rFonts w:ascii="Times New Roman;Times;Serif" w:hAnsi="Times New Roman;Times;Serif"/>
          <w:b/>
          <w:i w:val="false"/>
          <w:smallCaps/>
          <w:sz w:val="20"/>
        </w:rPr>
        <w:t>Purchase Rights;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On each Offering Date, each Eligible Employee, pursuant to an Offering made under the Plan, will be granted a Purchase Right to purchase up to that number of shares of Common Stock equal to either (i) a percentage of such Employee’s earnings or (ii) a maximum dollar amount, as designated by the Board, but in either case not exceeding 100% (or such lesser percentage as the Board may determine prior to the start of an Offering) of such Employee’s earnings (as defined by the Board in each Offering) during the period that begins on the Offering Date (or such later date as the Board determines for a particular Offering) and ends on the date stated in the Offering, which date will be no later than the end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Board will establish one or more Purchase Dates during an Offering on which Purchase Rights granted for that Offering will be exercised and shares of Common Stock will be purchased in accordance with such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In connection with each Offering made under the Plan, no Eligible Employee may purchase a number of shares of Common Stock having a Fair Market Value on the Offering Date greater than $75,000 (but still subject to the limitations set forth in Section 5(d) above), or such lesser number of shares determined by the Board prior to the commencement of the Offering, and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The purchase price of shares of Common Stock acquired pursuant to Purchase Rights will be not less than the lesser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an amount equal to 85% of the Fair Market Value of the shares of Common Stock on the Offering Date;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an amount equal to 85% of the Fair Market Value of the shares of Common Stock on the applicable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w:t>
      </w:r>
      <w:r>
        <w:rPr>
          <w:rFonts w:ascii="Times New Roman;Times;Serif" w:hAnsi="Times New Roman;Times;Serif"/>
          <w:b/>
          <w:i w:val="false"/>
          <w:smallCaps/>
          <w:sz w:val="20"/>
        </w:rPr>
        <w:t>Participation; Withdrawal; Termination; Holding Period For Shares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An Eligible Employee may elect to participate in an Offering and authorize payroll deductions as the means of making Contributions by completing and delivering to the Company or a Company Designee, within the time specified in the Offering, an enrollment form provided by the Company or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his or her Contributions. If required under Applicable Law or if specifically provided in the Offering, in addition to or instead of making Contributions by payroll deductions, a Participant may make Contributions through payment by cash, check or wire transfer prior to a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During an Offering, a Participant may cease making Contributions and withdraw from the Offering by delivering to the Company or a Company Designee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Unless otherwise required by Applicable Law, Purchase Rights granted pursuant to any Offering under the Plan will terminate immediately if the Participant either (i) is no longer an Employee for any reason or for no reason (subject to any post-employment participation period required by Applicable Law) or (ii) is otherwise no longer eligible to participate. The Company will distribute as soon as practicable to such individual all of his or her accumulated but unused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Unless otherwise determined by the Board, a Participant whose employment transfers or whose employment terminates with an immediate rehire (with no break in service) by or between the Company and a Designated Company or between Designated Companies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The Board may establish different and additional rules governing transfers between separate Offerings within the 423 Component and between Offerings under the 423 Component and Offerings under the Non-423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The Board may with respect to any and all Offerings impose a Holding Period on shares of Common Stock acquired during any such Offering. During any such Holding Period, a Participant shall not be able to sell the shares of Common Stock acquired pursuant to the Offering for which such Holding Period was imposed and will be at market risk with respect to such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Unless otherwise specified in the Offering or as required by Applicable Law, the Company will have no obligation to pay interest on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w:t>
      </w:r>
      <w:r>
        <w:rPr>
          <w:rFonts w:ascii="Times New Roman;Times;Serif" w:hAnsi="Times New Roman;Times;Serif"/>
          <w:b/>
          <w:i w:val="false"/>
          <w:smallCaps/>
          <w:sz w:val="20"/>
        </w:rPr>
        <w:t>Exercise of Purchase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Unless otherwise provided in the Offering, if the amount of accumulated Contributions that remains in a Participant’s account after the purchase of shares of Common Stock on the final Purchase Date of an Offering is less than the amount to have purchased one full share of Common Stock, then such remaining amount will roll over to the next Offering (unless otherwise required by Applicable Law). For the avoidance of doubt, and unless otherwise provided in the Offering, if the amount of accumulated Contributions that remains in a Participant’s account after the purchase of shares of Common Stock on the final Purchase Date of an Offering equals or exceeds the amount to have purchased one full share of Common Stock, then such amounts will be distributed in full to such Participant after the final Purchase Date of such Offering without interest (unless otherwise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U.S. federal and state, foreign and other securities, exchange control and other laws applicable to the Plan. If on a Purchase Date the shares of Common Stock are not so registered or the Plan is not in such compliance, no Purchase Rights will be exercised on such Purchase Date, and the Purchase Date will be delayed until the shares of Common Stock are subject to such an effective registration statement and the Plan is in material compliance, except that the Purchase Date will in no event be more than 27 months from the Offering Date. If, on the Purchase Date, as delayed to the maximum extent permissible, the shares of Common Stock are not registered and the Plan is not in material compliance with all Applicable Laws, as determined by the Company in its sole discretion, no Purchase Rights will be exercised and all accumulated but unused Contributions will be distributed to the Participants without interest (unless the payment of interest is otherwise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w:t>
      </w:r>
      <w:r>
        <w:rPr>
          <w:rFonts w:ascii="Times New Roman;Times;Serif" w:hAnsi="Times New Roman;Times;Serif"/>
          <w:b/>
          <w:i w:val="false"/>
          <w:smallCaps/>
          <w:sz w:val="20"/>
        </w:rPr>
        <w:t>Covenants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seek to obtain from each U.S. federal or state, foreign or other regulatory commission, agency or other Governmental Body having jurisdiction over the Plan, such authority as may be required to grant Purchase Rights and issue and sell shares of Common Stock thereunder unless the Company determines, in its sole discretion, that doing so is not practical or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w:t>
      </w:r>
      <w:r>
        <w:rPr>
          <w:rFonts w:ascii="Times New Roman;Times;Serif" w:hAnsi="Times New Roman;Times;Serif"/>
          <w:b/>
          <w:i w:val="false"/>
          <w:smallCaps/>
          <w:sz w:val="20"/>
        </w:rPr>
        <w:t>Designation of Beneficiary.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w:t>
      </w:r>
      <w:r>
        <w:rPr>
          <w:rFonts w:ascii="Times New Roman;Times;Serif" w:hAnsi="Times New Roman;Times;Serif"/>
          <w:b/>
          <w:i w:val="false"/>
          <w:smallCaps/>
          <w:sz w:val="20"/>
        </w:rPr>
        <w:t>Adjustments Upon Changes in Common Stock; Corporate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In the event of a Capitalization Adjustment, the Board will appropriately and proportionately adjust: (i) the class(es) and maximum number of securities subject to the Plan pursuant to Section 3(a), (ii) the class(es) and number of securities subject to, and the purchase price applicable to outstanding Offerings and Purchase Rights and (iii) the class(es) and number of securities that are the subject of the purchase limits under each ongoing Offering. The Board will make these adjustments, and its determination will be final, binding and conclusive.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(A) the Participants’ accumulated Contributions will be used to purchase shares of Common Stock (rounded down to the nearest whole share) within ten business days (or such other period specified by the Board) prior to the Corporate Transaction under the outstanding Purchase Rights, and the Purchase Rights will terminate immediately after such purchase, or (B) the Board, in its discretion, may terminate any outstanding Offerings, cancel the outstanding Purchase Rights and refund the Participants’ accumulated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w:t>
      </w:r>
      <w:r>
        <w:rPr>
          <w:rFonts w:ascii="Times New Roman;Times;Serif" w:hAnsi="Times New Roman;Times;Serif"/>
          <w:b/>
          <w:i w:val="false"/>
          <w:smallCaps/>
          <w:sz w:val="20"/>
        </w:rPr>
        <w:t>Amendment, Termination or Suspension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Board may amend the Plan at any time in any respect the Board deems necessary or advisable. However, stockholder approval will be required for any amendment of the Plan for which stockholder approval is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Board may suspend or terminate the Plan at any time. No Purchase Rights may be granted under the Plan while the Plan is suspended or after it is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facilitate compliance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 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 Component;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w:t>
      </w:r>
      <w:r>
        <w:rPr>
          <w:rFonts w:ascii="Times New Roman;Times;Serif" w:hAnsi="Times New Roman;Times;Serif"/>
          <w:b/>
          <w:i w:val="false"/>
          <w:smallCaps/>
          <w:sz w:val="20"/>
        </w:rPr>
        <w:t>Tax Qualification; Tax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Each Participant will make arrangements, satisfactory to the Company and any applicable Related Corporation, to enable the Company or the Related Corporation to fulfill any withholding obligation for Tax-Related Items. Without limitation to the foregoing, in the Company’s sole discretion and subject to Applicable Law, such withholding obligation may be satisfied in whole or in part by (i) withholding from the Participant’s salary or any other cash payment due to the Participant from the Company or a Related Corporation; (ii) withholding from the proceeds of the sale of shares of Common Stock acquired under the Plan, either through a voluntary sale or a mandatory sale arranged by the Company; or (iii) any other method deemed acceptable by the Board. The Company shall not be required to issue any shares of Common Stock under the Plan until such obligations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w:t>
      </w:r>
      <w:r>
        <w:rPr>
          <w:rFonts w:ascii="Times New Roman;Times;Serif" w:hAnsi="Times New Roman;Times;Serif"/>
          <w:b/>
          <w:i w:val="false"/>
          <w:smallCaps/>
          <w:sz w:val="20"/>
        </w:rPr>
        <w:t>Effective Date of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will become effective on the date on which the Company’s stockholders approve the adoption of the Plan. 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w:t>
      </w:r>
      <w:r>
        <w:rPr>
          <w:rFonts w:ascii="Times New Roman;Times;Serif" w:hAnsi="Times New Roman;Times;Serif"/>
          <w:b/>
          <w:i w:val="false"/>
          <w:smallCaps/>
          <w:sz w:val="20"/>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Proceeds from the sale of shares of Common Stock pursuant to Purchase Rights will constitute general funds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Plan and Offering do not constitute an employment contract. Nothing in the Plan or in the Offering will in any way alter the at will nature of a Participant’s employment or amend a Participant’s employment contract, if applicable, or be deemed to create in any way whatsoever any obligation on the part of any Participant to continue in the employ of the Company or a Related Corporation or an Affiliate, or on the part of the Company, a Related Corporation or an Affiliate to continue the employment of a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The provisions of the Plan will be governed by the laws of the State of Delaware without resort to that state’s conflicts of laws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If any particular provision of the Plan is found to be invalid or otherwise unenforceable, such provision will not affect the other provisions of the Plan, but the Plan will be construed in all respects as if such invalid provision were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If any provision of the Plan does not comply with Applicable Law, such provision shall be construed in such a manner as to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w:t>
      </w:r>
      <w:r>
        <w:rPr>
          <w:rFonts w:ascii="Times New Roman;Times;Serif" w:hAnsi="Times New Roman;Times;Serif"/>
          <w:b/>
          <w:i w:val="false"/>
          <w:smallCaps/>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the Plan, the following definitions will apply to the capitalized terms indicated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423 Component</w:t>
      </w:r>
      <w:r>
        <w:rPr>
          <w:rFonts w:ascii="Times New Roman;Times;Serif" w:hAnsi="Times New Roman;Times;Serif"/>
          <w:b w:val="false"/>
          <w:i w:val="false"/>
          <w:caps w:val="false"/>
          <w:smallCaps w:val="false"/>
          <w:sz w:val="20"/>
        </w:rPr>
        <w:t>” means the part of the Plan, which excludes the Non-423 Component, pursuant to which Purchase Rights that satisfy the requirements for an Employee Stock Purchase Plan may be granted to Eligible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means any entity, other than a Related Corporation, whether now or subsequently established, which is at the time of determination, a “parent” or “subsidiary” of the Company as such terms are defined in Rule 405, promulgated under the Securities Act. The Board may determine the time or times at which “parent” or “subsidiary” status is determined within the foregoing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Applicable Law</w:t>
      </w:r>
      <w:r>
        <w:rPr>
          <w:rFonts w:ascii="Times New Roman;Times;Serif" w:hAnsi="Times New Roman;Times;Serif"/>
          <w:b w:val="false"/>
          <w:i w:val="false"/>
          <w:caps w:val="false"/>
          <w:smallCaps w:val="false"/>
          <w:sz w:val="20"/>
        </w:rPr>
        <w:t>” means the Code and any applicable U.S. or non-U.S.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LLC, the New York Stock Exchange or the Financial Industry Regulatory Authority,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Capitalization Adjustment</w:t>
      </w:r>
      <w:r>
        <w:rPr>
          <w:rFonts w:ascii="Times New Roman;Times;Serif" w:hAnsi="Times New Roman;Times;Serif"/>
          <w:b w:val="false"/>
          <w:i w:val="false"/>
          <w:caps w:val="false"/>
          <w:smallCaps w:val="false"/>
          <w:sz w:val="20"/>
        </w:rPr>
        <w:t>”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means the U.S. Internal Revenue Code of 1986, as amended, including any applicable regulations and guidance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Committee</w:t>
      </w:r>
      <w:r>
        <w:rPr>
          <w:rFonts w:ascii="Times New Roman;Times;Serif" w:hAnsi="Times New Roman;Times;Serif"/>
          <w:b w:val="false"/>
          <w:i w:val="false"/>
          <w:caps w:val="false"/>
          <w:smallCaps w:val="false"/>
          <w:sz w:val="20"/>
        </w:rPr>
        <w:t>” means a committee of one or more members of the Board to whom authority has been delegated by the Board in accordance with Section 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means the common stock, par value $0.0001 per share,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means Orchestra BioMed Holdings,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Contributions</w:t>
      </w:r>
      <w:r>
        <w:rPr>
          <w:rFonts w:ascii="Times New Roman;Times;Serif" w:hAnsi="Times New Roman;Times;Serif"/>
          <w:b w:val="false"/>
          <w:i w:val="false"/>
          <w:caps w:val="false"/>
          <w:smallCaps w:val="false"/>
          <w:sz w:val="20"/>
        </w:rPr>
        <w:t>” means the payroll deductions and other additional payments specifically provided for in the Offering that a Participant 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Corporate Transaction</w:t>
      </w:r>
      <w:r>
        <w:rPr>
          <w:rFonts w:ascii="Times New Roman;Times;Serif" w:hAnsi="Times New Roman;Times;Serif"/>
          <w:b w:val="false"/>
          <w:i w:val="false"/>
          <w:caps w:val="false"/>
          <w:smallCaps w:val="false"/>
          <w:sz w:val="20"/>
        </w:rPr>
        <w:t>” means the consummation, in a single transaction or in a series of related transactions, of any one or more of the following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a sale or other disposition of all or substantially all, as determined by the Board in its sole discretion, of the consolidated assets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a sale or other disposition of more than 50% of the outstanding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a merger, consolidation or similar transaction following which the Company is not the surviving corporation;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Designated 423 Corporation</w:t>
      </w:r>
      <w:r>
        <w:rPr>
          <w:rFonts w:ascii="Times New Roman;Times;Serif" w:hAnsi="Times New Roman;Times;Serif"/>
          <w:b w:val="false"/>
          <w:i w:val="false"/>
          <w:caps w:val="false"/>
          <w:smallCaps w:val="false"/>
          <w:sz w:val="20"/>
        </w:rPr>
        <w:t>” means any Related Corporation selected by the Board to participate in the 423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Designated Company</w:t>
      </w:r>
      <w:r>
        <w:rPr>
          <w:rFonts w:ascii="Times New Roman;Times;Serif" w:hAnsi="Times New Roman;Times;Serif"/>
          <w:b w:val="false"/>
          <w:i w:val="false"/>
          <w:caps w:val="false"/>
          <w:smallCaps w:val="false"/>
          <w:sz w:val="20"/>
        </w:rPr>
        <w:t>” means any Designated Non-423 Corporation or Designated 423 Corporation, provided, however, that at any given time, a Related Corporation participating in the 423 Component shall not be a Related Corporation participating in the Non-423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Designated Non-423 Corporation</w:t>
      </w:r>
      <w:r>
        <w:rPr>
          <w:rFonts w:ascii="Times New Roman;Times;Serif" w:hAnsi="Times New Roman;Times;Serif"/>
          <w:b w:val="false"/>
          <w:i w:val="false"/>
          <w:caps w:val="false"/>
          <w:smallCaps w:val="false"/>
          <w:sz w:val="20"/>
        </w:rPr>
        <w:t>” means any Related Corporation or Affiliate selected by the Board to participate in the Non-423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Director</w:t>
      </w:r>
      <w:r>
        <w:rPr>
          <w:rFonts w:ascii="Times New Roman;Times;Serif" w:hAnsi="Times New Roman;Times;Serif"/>
          <w:b w:val="false"/>
          <w:i w:val="false"/>
          <w:caps w:val="false"/>
          <w:smallCaps w:val="false"/>
          <w:sz w:val="20"/>
        </w:rPr>
        <w:t>” means a member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Eligible Employee</w:t>
      </w:r>
      <w:r>
        <w:rPr>
          <w:rFonts w:ascii="Times New Roman;Times;Serif" w:hAnsi="Times New Roman;Times;Serif"/>
          <w:b w:val="false"/>
          <w:i w:val="false"/>
          <w:caps w:val="false"/>
          <w:smallCaps w:val="false"/>
          <w:sz w:val="20"/>
        </w:rPr>
        <w:t>” means an Employee who meets the requirements set forth in the document(s) governing the Offering for eligibility to participate in the Offering, provided that such Employee also meets the requirements for eligibility to participate set forth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Employee</w:t>
      </w:r>
      <w:r>
        <w:rPr>
          <w:rFonts w:ascii="Times New Roman;Times;Serif" w:hAnsi="Times New Roman;Times;Serif"/>
          <w:b w:val="false"/>
          <w:i w:val="false"/>
          <w:caps w:val="false"/>
          <w:smallCaps w:val="false"/>
          <w:sz w:val="20"/>
        </w:rPr>
        <w:t>” means any person, including an Officer or Director, who is “employed” for purposes of Section 423(b)(4) of the Code by the Company or a Related Corporation, or solely with respect to the Non-423 Component, an Affiliate. However, service solely as a Director, or payment of a fee for such services, will not cause a Director to be considered an “Employee” for purposes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Employee Stock Purchase Plan</w:t>
      </w:r>
      <w:r>
        <w:rPr>
          <w:rFonts w:ascii="Times New Roman;Times;Serif" w:hAnsi="Times New Roman;Times;Serif"/>
          <w:b w:val="false"/>
          <w:i w:val="false"/>
          <w:caps w:val="false"/>
          <w:smallCaps w:val="false"/>
          <w:sz w:val="20"/>
        </w:rPr>
        <w:t>” means a plan that grants Purchase Rights intended to be options issued under an “employee stock purchase plan,” as that term is defined in Section 423(b)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U.S.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Fair Market Value</w:t>
      </w:r>
      <w:r>
        <w:rPr>
          <w:rFonts w:ascii="Times New Roman;Times;Serif" w:hAnsi="Times New Roman;Times;Serif"/>
          <w:b w:val="false"/>
          <w:i w:val="false"/>
          <w:caps w:val="false"/>
          <w:smallCaps w:val="false"/>
          <w:sz w:val="20"/>
        </w:rPr>
        <w:t>” means, as of any date, the value of the Common Stock determined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If the Common Stock is listed on any established stock exchange or traded on any established market, the Fair Market Value of a share of Common Stock will be the closing sales price for such stock as quoted on such exchange or market (or the exchange or market with the greatest volume of trading in the Common Stock) on the date of determination,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In the absence of such markets for the Common Stock, the Fair Market Value will be determined by the Board in good faith in compliance with Applicable Laws and regulations and, to the extent applicable as determined in the sole discretion of the Board, in a manner that complies with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Governmental Body</w:t>
      </w:r>
      <w:r>
        <w:rPr>
          <w:rFonts w:ascii="Times New Roman;Times;Serif" w:hAnsi="Times New Roman;Times;Serif"/>
          <w:b w:val="false"/>
          <w:i w:val="false"/>
          <w:caps w:val="false"/>
          <w:smallCaps w:val="false"/>
          <w:sz w:val="20"/>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LLC, the New York Stock Exchange and the Financial Industry Regulatory Authority,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Holding Period</w:t>
      </w:r>
      <w:r>
        <w:rPr>
          <w:rFonts w:ascii="Times New Roman;Times;Serif" w:hAnsi="Times New Roman;Times;Serif"/>
          <w:b w:val="false"/>
          <w:i w:val="false"/>
          <w:caps w:val="false"/>
          <w:smallCaps w:val="false"/>
          <w:sz w:val="20"/>
        </w:rPr>
        <w:t>” means a period of up to one year from the Purchase Date during which a Participant may not sell shares of Common Stock acquired under the Plan on such Purchase Date, which Holding Period may be waived by the Board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Non-423 Component</w:t>
      </w:r>
      <w:r>
        <w:rPr>
          <w:rFonts w:ascii="Times New Roman;Times;Serif" w:hAnsi="Times New Roman;Times;Serif"/>
          <w:b w:val="false"/>
          <w:i w:val="false"/>
          <w:caps w:val="false"/>
          <w:smallCaps w:val="false"/>
          <w:sz w:val="20"/>
        </w:rPr>
        <w:t>” means the part of the Plan, which excludes the 423 Component, pursuant to which Purchase Rights that are not intended to satisfy the requirements for an Employee Stock Purchase Plan may be granted to Eligible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Offering</w:t>
      </w:r>
      <w:r>
        <w:rPr>
          <w:rFonts w:ascii="Times New Roman;Times;Serif" w:hAnsi="Times New Roman;Times;Serif"/>
          <w:b w:val="false"/>
          <w:i w:val="false"/>
          <w:caps w:val="false"/>
          <w:smallCaps w:val="false"/>
          <w:sz w:val="20"/>
        </w:rPr>
        <w:t>” means the grant to Eligible Employees of Purchase Rights, with the exercise of those Purchase Rights automatically occurring at the end of one or more Purchase Periods. The terms and conditions of an Offering will generally be set forth in the “</w:t>
      </w:r>
      <w:r>
        <w:rPr>
          <w:rFonts w:ascii="Times New Roman;Times;Serif" w:hAnsi="Times New Roman;Times;Serif"/>
          <w:b/>
          <w:i/>
          <w:caps w:val="false"/>
          <w:smallCaps w:val="false"/>
          <w:sz w:val="20"/>
        </w:rPr>
        <w:t>Offering Document</w:t>
      </w:r>
      <w:r>
        <w:rPr>
          <w:rFonts w:ascii="Times New Roman;Times;Serif" w:hAnsi="Times New Roman;Times;Serif"/>
          <w:b w:val="false"/>
          <w:i w:val="false"/>
          <w:caps w:val="false"/>
          <w:smallCaps w:val="false"/>
          <w:sz w:val="20"/>
        </w:rPr>
        <w:t>” approved by the Board for that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Offering Date</w:t>
      </w:r>
      <w:r>
        <w:rPr>
          <w:rFonts w:ascii="Times New Roman;Times;Serif" w:hAnsi="Times New Roman;Times;Serif"/>
          <w:b w:val="false"/>
          <w:i w:val="false"/>
          <w:caps w:val="false"/>
          <w:smallCaps w:val="false"/>
          <w:sz w:val="20"/>
        </w:rPr>
        <w:t>” means a date selected by the Board for an Offering to commence.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Officer</w:t>
      </w:r>
      <w:r>
        <w:rPr>
          <w:rFonts w:ascii="Times New Roman;Times;Serif" w:hAnsi="Times New Roman;Times;Serif"/>
          <w:b w:val="false"/>
          <w:i w:val="false"/>
          <w:caps w:val="false"/>
          <w:smallCaps w:val="false"/>
          <w:sz w:val="20"/>
        </w:rPr>
        <w:t>” means a person who is an officer of the Company or a Related Corporation within the meaning of Section 16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(aa)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means an Eligible Employee who holds an outstanding Purchase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(bb)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means this Orchestra BioMed Holdings, Inc. 2026 Employee Stock Purchase Plan, as amended from time to time, including both the 423 Component and the Non-423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(cc)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Purchase Date</w:t>
      </w:r>
      <w:r>
        <w:rPr>
          <w:rFonts w:ascii="Times New Roman;Times;Serif" w:hAnsi="Times New Roman;Times;Serif"/>
          <w:b w:val="false"/>
          <w:i w:val="false"/>
          <w:caps w:val="false"/>
          <w:smallCaps w:val="false"/>
          <w:sz w:val="20"/>
        </w:rPr>
        <w:t>” means one or more dates during an Offering selected by the Board on which Purchase Rights will be exercised and on which purchases of shares of Common Stock will be carried out in accordance with such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(dd)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Purchase Period</w:t>
      </w:r>
      <w:r>
        <w:rPr>
          <w:rFonts w:ascii="Times New Roman;Times;Serif" w:hAnsi="Times New Roman;Times;Serif"/>
          <w:b w:val="false"/>
          <w:i w:val="false"/>
          <w:caps w:val="false"/>
          <w:smallCaps w:val="false"/>
          <w:sz w:val="20"/>
        </w:rPr>
        <w:t>” means a period of time specified within an Offering, generally beginning on the Offering Date or on the first Trading Day following a Purchase Date, and ending on a Purchase Date. An Offering may consist of one or more Purchase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(ee)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Purchase Right</w:t>
      </w:r>
      <w:r>
        <w:rPr>
          <w:rFonts w:ascii="Times New Roman;Times;Serif" w:hAnsi="Times New Roman;Times;Serif"/>
          <w:b w:val="false"/>
          <w:i w:val="false"/>
          <w:caps w:val="false"/>
          <w:smallCaps w:val="false"/>
          <w:sz w:val="20"/>
        </w:rPr>
        <w:t>” means an option to purchase shares of Common Stock granted pursuant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(ff)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Related Corporation</w:t>
      </w:r>
      <w:r>
        <w:rPr>
          <w:rFonts w:ascii="Times New Roman;Times;Serif" w:hAnsi="Times New Roman;Times;Serif"/>
          <w:b w:val="false"/>
          <w:i w:val="false"/>
          <w:caps w:val="false"/>
          <w:smallCaps w:val="false"/>
          <w:sz w:val="20"/>
        </w:rPr>
        <w:t>” means any “parent corporation” or “subsidiary corporation” of the Company whether now or subsequently established, as those terms are defined in Sections 424(e) and (f), respectively,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(gg)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U.S.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(hh)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Tax-Related Items</w:t>
      </w:r>
      <w:r>
        <w:rPr>
          <w:rFonts w:ascii="Times New Roman;Times;Serif" w:hAnsi="Times New Roman;Times;Serif"/>
          <w:b w:val="false"/>
          <w:i w:val="false"/>
          <w:caps w:val="false"/>
          <w:smallCaps w:val="false"/>
          <w:sz w:val="20"/>
        </w:rPr>
        <w:t>” means any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Trading Day</w:t>
      </w:r>
      <w:r>
        <w:rPr>
          <w:rFonts w:ascii="Times New Roman;Times;Serif" w:hAnsi="Times New Roman;Times;Serif"/>
          <w:b w:val="false"/>
          <w:i w:val="false"/>
          <w:caps w:val="false"/>
          <w:smallCaps w:val="false"/>
          <w:sz w:val="20"/>
        </w:rPr>
        <w:t>” means any day on which the exchange(s) or market(s) on which shares of Common Stock are listed, including but not limited to the New York Stock Exchange, the Nasdaq Global Select Market, the Nasdaq Global Market, the Nasdaq Capital Market or any successors thereto, is open for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Normal"/>
        <w:bidi w:val="0"/>
        <w:spacing w:before="0" w:after="0"/>
        <w:ind w:left="0" w:right="0" w:hanging="0"/>
        <w:jc w:val="left"/>
        <w:rPr>
          <w:sz w:val="4"/>
          <w:szCs w:val="4"/>
        </w:rPr>
      </w:pPr>
      <w:r>
        <w:rPr>
          <w:sz w:val="4"/>
          <w:szCs w:val="4"/>
        </w:rPr>
      </w:r>
      <w:bookmarkStart w:id="9" w:name="tm2618372d1_ex-filingfees.htm"/>
      <w:bookmarkStart w:id="10" w:name="kstm2618372d1_exfilingfees"/>
      <w:bookmarkStart w:id="11" w:name="tm2618372d1_ex-filingfees.htm"/>
      <w:bookmarkStart w:id="12" w:name="kstm2618372d1_exfilingfees"/>
      <w:bookmarkEnd w:id="11"/>
      <w:bookmarkEnd w:id="12"/>
      <w:r>
        <w:br w:type="page"/>
      </w:r>
    </w:p>
    <w:tbl>
      <w:tblPr>
        <w:tblW w:w="3695" w:type="dxa"/>
        <w:jc w:val="left"/>
        <w:tblInd w:w="0" w:type="dxa"/>
        <w:tblLayout w:type="fixed"/>
        <w:tblCellMar>
          <w:top w:w="28" w:type="dxa"/>
          <w:left w:w="28" w:type="dxa"/>
          <w:bottom w:w="28" w:type="dxa"/>
          <w:right w:w="28" w:type="dxa"/>
        </w:tblCellMar>
      </w:tblPr>
      <w:tblGrid>
        <w:gridCol w:w="3541"/>
        <w:gridCol w:w="154"/>
      </w:tblGrid>
      <w:tr>
        <w:trPr/>
        <w:tc>
          <w:tcPr>
            <w:tcW w:w="369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54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before="0" w:after="283"/>
              <w:jc w:val="left"/>
              <w:rPr>
                <w:b/>
              </w:rPr>
            </w:pPr>
            <w:r>
              <w:rPr>
                <w:b/>
              </w:rPr>
              <w:t xml:space="preserve">Orchestra BioMed Holdings,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2"/>
        <w:gridCol w:w="1076"/>
        <w:gridCol w:w="1301"/>
        <w:gridCol w:w="1210"/>
        <w:gridCol w:w="1244"/>
        <w:gridCol w:w="1603"/>
        <w:gridCol w:w="1127"/>
        <w:gridCol w:w="1440"/>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7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1"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10"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4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03"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40"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2" w:type="dxa"/>
            <w:tcBorders/>
            <w:shd w:fill="E7E7E2" w:val="clear"/>
            <w:vAlign w:val="center"/>
          </w:tcPr>
          <w:p>
            <w:pPr>
              <w:pStyle w:val="TableContents"/>
              <w:bidi w:val="0"/>
              <w:spacing w:before="0" w:after="283"/>
              <w:jc w:val="left"/>
              <w:rPr/>
            </w:pPr>
            <w:r>
              <w:rPr/>
              <w:t xml:space="preserve">Equity </w:t>
            </w:r>
          </w:p>
        </w:tc>
        <w:tc>
          <w:tcPr>
            <w:tcW w:w="1076" w:type="dxa"/>
            <w:tcBorders/>
            <w:shd w:fill="E7E7E2" w:val="clear"/>
            <w:vAlign w:val="center"/>
          </w:tcPr>
          <w:p>
            <w:pPr>
              <w:pStyle w:val="TableContents"/>
              <w:bidi w:val="0"/>
              <w:spacing w:before="0" w:after="283"/>
              <w:jc w:val="left"/>
              <w:rPr/>
            </w:pPr>
            <w:r>
              <w:rPr/>
              <w:t xml:space="preserve">Common Stock, par value $0.0001 per share </w:t>
            </w:r>
          </w:p>
        </w:tc>
        <w:tc>
          <w:tcPr>
            <w:tcW w:w="1301" w:type="dxa"/>
            <w:tcBorders/>
            <w:shd w:fill="E7E7E2" w:val="clear"/>
            <w:vAlign w:val="center"/>
          </w:tcPr>
          <w:p>
            <w:pPr>
              <w:pStyle w:val="TableContents"/>
              <w:bidi w:val="0"/>
              <w:spacing w:before="0" w:after="283"/>
              <w:jc w:val="center"/>
              <w:rPr/>
            </w:pPr>
            <w:r>
              <w:rPr/>
              <w:t xml:space="preserve">Other </w:t>
            </w:r>
          </w:p>
        </w:tc>
        <w:tc>
          <w:tcPr>
            <w:tcW w:w="1210" w:type="dxa"/>
            <w:tcBorders/>
            <w:shd w:fill="E7E7E2" w:val="clear"/>
            <w:vAlign w:val="center"/>
          </w:tcPr>
          <w:p>
            <w:pPr>
              <w:pStyle w:val="TableContents"/>
              <w:bidi w:val="0"/>
              <w:spacing w:before="0" w:after="283"/>
              <w:jc w:val="right"/>
              <w:rPr/>
            </w:pPr>
            <w:r>
              <w:rPr/>
              <w:t xml:space="preserve">750,000 </w:t>
            </w:r>
          </w:p>
        </w:tc>
        <w:tc>
          <w:tcPr>
            <w:tcW w:w="1244" w:type="dxa"/>
            <w:tcBorders/>
            <w:shd w:fill="E7E7E2" w:val="clear"/>
            <w:vAlign w:val="center"/>
          </w:tcPr>
          <w:p>
            <w:pPr>
              <w:pStyle w:val="TableContents"/>
              <w:bidi w:val="0"/>
              <w:spacing w:before="0" w:after="283"/>
              <w:jc w:val="right"/>
              <w:rPr/>
            </w:pPr>
            <w:r>
              <w:rPr/>
              <w:t xml:space="preserve">$ 3.9225 </w:t>
            </w:r>
          </w:p>
        </w:tc>
        <w:tc>
          <w:tcPr>
            <w:tcW w:w="1603" w:type="dxa"/>
            <w:tcBorders/>
            <w:shd w:fill="E7E7E2" w:val="clear"/>
            <w:vAlign w:val="center"/>
          </w:tcPr>
          <w:p>
            <w:pPr>
              <w:pStyle w:val="TableContents"/>
              <w:bidi w:val="0"/>
              <w:spacing w:before="0" w:after="283"/>
              <w:jc w:val="right"/>
              <w:rPr/>
            </w:pPr>
            <w:r>
              <w:rPr/>
              <w:t xml:space="preserve">$ 2,941,875.00 </w:t>
            </w:r>
          </w:p>
        </w:tc>
        <w:tc>
          <w:tcPr>
            <w:tcW w:w="1127" w:type="dxa"/>
            <w:tcBorders/>
            <w:shd w:fill="E7E7E2" w:val="clear"/>
            <w:vAlign w:val="center"/>
          </w:tcPr>
          <w:p>
            <w:pPr>
              <w:pStyle w:val="TableContents"/>
              <w:bidi w:val="0"/>
              <w:spacing w:before="0" w:after="283"/>
              <w:jc w:val="right"/>
              <w:rPr/>
            </w:pPr>
            <w:r>
              <w:rPr/>
              <w:t xml:space="preserve">0.0001381 </w:t>
            </w:r>
          </w:p>
        </w:tc>
        <w:tc>
          <w:tcPr>
            <w:tcW w:w="1440" w:type="dxa"/>
            <w:tcBorders/>
            <w:shd w:fill="E7E7E2" w:val="clear"/>
            <w:vAlign w:val="center"/>
          </w:tcPr>
          <w:p>
            <w:pPr>
              <w:pStyle w:val="TableContents"/>
              <w:bidi w:val="0"/>
              <w:spacing w:before="0" w:after="283"/>
              <w:jc w:val="right"/>
              <w:rPr/>
            </w:pPr>
            <w:r>
              <w:rPr/>
              <w:t xml:space="preserve">$ 406.27 </w:t>
            </w:r>
          </w:p>
        </w:tc>
      </w:tr>
      <w:tr>
        <w:trPr/>
        <w:tc>
          <w:tcPr>
            <w:tcW w:w="4791" w:type="dxa"/>
            <w:gridSpan w:val="5"/>
            <w:tcBorders/>
            <w:vAlign w:val="center"/>
          </w:tcPr>
          <w:p>
            <w:pPr>
              <w:pStyle w:val="TableContents"/>
              <w:bidi w:val="0"/>
              <w:spacing w:before="0" w:after="0"/>
              <w:ind w:left="0" w:right="0" w:hanging="0"/>
              <w:jc w:val="right"/>
              <w:rPr/>
            </w:pPr>
            <w:r>
              <w:rPr/>
              <w:t>Total Offering Amounts:</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0"/>
              <w:ind w:left="0" w:right="0" w:hanging="0"/>
              <w:jc w:val="right"/>
              <w:rPr/>
            </w:pPr>
            <w:bookmarkStart w:id="13" w:name="MaxAggtOfferingPrice"/>
            <w:bookmarkEnd w:id="13"/>
            <w:r>
              <w:rPr/>
              <w:t xml:space="preserve">$ 2,941,875.00 </w:t>
            </w:r>
          </w:p>
        </w:tc>
        <w:tc>
          <w:tcPr>
            <w:tcW w:w="1127" w:type="dxa"/>
            <w:tcBorders/>
            <w:vAlign w:val="center"/>
          </w:tcPr>
          <w:p>
            <w:pPr>
              <w:pStyle w:val="TableContents"/>
              <w:bidi w:val="0"/>
              <w:spacing w:before="0" w:after="283"/>
              <w:jc w:val="left"/>
              <w:rPr>
                <w:sz w:val="4"/>
                <w:szCs w:val="4"/>
              </w:rPr>
            </w:pPr>
            <w:r>
              <w:rPr>
                <w:sz w:val="4"/>
                <w:szCs w:val="4"/>
              </w:rPr>
            </w:r>
          </w:p>
        </w:tc>
        <w:tc>
          <w:tcPr>
            <w:tcW w:w="1440"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4" w:name="TotalFeeAmt"/>
            <w:bookmarkEnd w:id="14"/>
            <w:r>
              <w:rPr/>
              <w:t xml:space="preserve">$ 406.27 </w:t>
            </w:r>
          </w:p>
        </w:tc>
      </w:tr>
      <w:tr>
        <w:trPr/>
        <w:tc>
          <w:tcPr>
            <w:tcW w:w="4791" w:type="dxa"/>
            <w:gridSpan w:val="5"/>
            <w:tcBorders/>
            <w:vAlign w:val="center"/>
          </w:tcPr>
          <w:p>
            <w:pPr>
              <w:pStyle w:val="TableContents"/>
              <w:bidi w:val="0"/>
              <w:spacing w:before="0" w:after="0"/>
              <w:ind w:left="0" w:right="0" w:hanging="0"/>
              <w:jc w:val="right"/>
              <w:rPr/>
            </w:pPr>
            <w:r>
              <w:rPr/>
              <w:t xml:space="preserve">Total Fee Offsets: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0"/>
              <w:ind w:left="0" w:right="0" w:hanging="0"/>
              <w:jc w:val="right"/>
              <w:rPr/>
            </w:pPr>
            <w:bookmarkStart w:id="15" w:name="TotalOffsetAmt"/>
            <w:bookmarkEnd w:id="15"/>
            <w:r>
              <w:rPr/>
              <w:t xml:space="preserve">$ 0.00 </w:t>
            </w:r>
          </w:p>
        </w:tc>
      </w:tr>
      <w:tr>
        <w:trPr/>
        <w:tc>
          <w:tcPr>
            <w:tcW w:w="4791" w:type="dxa"/>
            <w:gridSpan w:val="5"/>
            <w:tcBorders/>
            <w:vAlign w:val="center"/>
          </w:tcPr>
          <w:p>
            <w:pPr>
              <w:pStyle w:val="TableContents"/>
              <w:bidi w:val="0"/>
              <w:spacing w:before="0" w:after="0"/>
              <w:ind w:left="0" w:right="0" w:hanging="0"/>
              <w:jc w:val="right"/>
              <w:rPr/>
            </w:pPr>
            <w:r>
              <w:rPr/>
              <w:t xml:space="preserve">Net Fee Due: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0"/>
              <w:ind w:left="0" w:right="0" w:hanging="0"/>
              <w:jc w:val="right"/>
              <w:rPr/>
            </w:pPr>
            <w:bookmarkStart w:id="16" w:name="NetFeeAmt"/>
            <w:bookmarkEnd w:id="16"/>
            <w:r>
              <w:rPr/>
              <w:t xml:space="preserve">$ 406.27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7"/>
        <w:gridCol w:w="8707"/>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Pursuant to Rule 416(a) under the Securities Act of 1933, as amended (the "Securities Act"), this Registration Statement shall also cover any additional shares of Common Stock that become issuable under the Orchestra BioMed Holdings, Inc. 2026 Employee Stock Purchase Plan (the "ESPP") by reason of any stock dividend, stock split, recapitalization or other similar transaction effected without receipt of consideration that increases the number of the Registrant's outstanding shares of Common Stock. The "Amount Registered" represents 750,000 shares of Common Stock reserved for issuance under the ESPP. The "Proposed Maximum Offering Price" is estimated solely for the purpose of calculating the amount of the registration fee pursuant to Rule 457(c) and Rule 457(h) of the Securities Act, and is calculated based on $3.9225 per share, the average of the high and low prices of the Common Stock, as reported on the Nasdaq Global Market on June 17, 2026, which is a date within five business days prior to the date of filing the Registration Statement.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814114/000110465926026754/obio-20251231x10k.htm" TargetMode="External"/><Relationship Id="rId3" Type="http://schemas.openxmlformats.org/officeDocument/2006/relationships/hyperlink" Target="https://www.sec.gov/ix?doc=/Archives/edgar/data/1814114/000110465926059382/obio-20260331x10q.htm" TargetMode="External"/><Relationship Id="rId4" Type="http://schemas.openxmlformats.org/officeDocument/2006/relationships/hyperlink" Target="https://www.sec.gov/ix?doc=/Archives/edgar/data/1814114/000110465926002752/tm262832d1_8k.htm" TargetMode="External"/><Relationship Id="rId5" Type="http://schemas.openxmlformats.org/officeDocument/2006/relationships/hyperlink" Target="https://www.sec.gov/ix?doc=/Archives/edgar/data/1814114/000110465926015315/tm266305d1_8k.htm" TargetMode="External"/><Relationship Id="rId6" Type="http://schemas.openxmlformats.org/officeDocument/2006/relationships/hyperlink" Target="https://www.sec.gov/Archives/edgar/data/1814114/000110465926026754/obio-20251231xex4d21.htm" TargetMode="External"/><Relationship Id="rId7" Type="http://schemas.openxmlformats.org/officeDocument/2006/relationships/hyperlink" Target="https://www.sec.gov/Archives/edgar/data/1814114/000121390023006448/ea172444ex3-1_orchestra.htm" TargetMode="External"/><Relationship Id="rId8" Type="http://schemas.openxmlformats.org/officeDocument/2006/relationships/hyperlink" Target="https://www.sec.gov/Archives/edgar/data/1814114/000121390023006448/ea172444ex3-1_orchestra.htm" TargetMode="External"/><Relationship Id="rId9" Type="http://schemas.openxmlformats.org/officeDocument/2006/relationships/hyperlink" Target="https://www.sec.gov/Archives/edgar/data/1814114/000110465925109128/obio-20250930xex3d2.htm" TargetMode="External"/><Relationship Id="rId10" Type="http://schemas.openxmlformats.org/officeDocument/2006/relationships/hyperlink" Target="https://www.sec.gov/Archives/edgar/data/1814114/000110465925109128/obio-20250930xex3d2.htm" TargetMode="External"/><Relationship Id="rId11" Type="http://schemas.openxmlformats.org/officeDocument/2006/relationships/hyperlink" Target="https://www.sec.gov/Archives/edgar/data/1814114/000155837024011899/obio-20240630xex3d2.htm" TargetMode="External"/><Relationship Id="rId12" Type="http://schemas.openxmlformats.org/officeDocument/2006/relationships/hyperlink" Target="https://www.sec.gov/Archives/edgar/data/1814114/000155837024011899/obio-20240630xex3d2.htm" TargetMode="External"/><Relationship Id="rId13" Type="http://schemas.openxmlformats.org/officeDocument/2006/relationships/image" Target="media/image1.jpeg"/><Relationship Id="rId14" Type="http://schemas.openxmlformats.org/officeDocument/2006/relationships/image" Target="media/image2.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11047</Words>
  <Characters>57768</Characters>
  <CharactersWithSpaces>70032</CharactersWithSpaces>
  <Paragraphs>772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