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7960" w:type="dxa"/>
            <w:vAlign w:val="bottom"/>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16"/>
        </w:trPr>
        <w:tc>
          <w:tcPr>
            <w:tcW w:w="3280" w:type="dxa"/>
            <w:vAlign w:val="bottom"/>
          </w:tcPr>
          <w:p>
            <w:pPr>
              <w:spacing w:after="0"/>
              <w:rPr>
                <w:sz w:val="18"/>
                <w:szCs w:val="18"/>
                <w:color w:val="auto"/>
              </w:rPr>
            </w:pPr>
          </w:p>
        </w:tc>
        <w:tc>
          <w:tcPr>
            <w:tcW w:w="7960" w:type="dxa"/>
            <w:vAlign w:val="bottom"/>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3280" w:type="dxa"/>
            <w:vAlign w:val="bottom"/>
          </w:tcPr>
          <w:p>
            <w:pPr>
              <w:spacing w:after="0"/>
              <w:rPr>
                <w:sz w:val="20"/>
                <w:szCs w:val="20"/>
                <w:color w:val="auto"/>
              </w:rPr>
            </w:pPr>
          </w:p>
        </w:tc>
        <w:tc>
          <w:tcPr>
            <w:tcW w:w="796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16"/>
        </w:trPr>
        <w:tc>
          <w:tcPr>
            <w:tcW w:w="328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18"/>
                <w:szCs w:val="18"/>
                <w:color w:val="auto"/>
              </w:rPr>
            </w:pPr>
          </w:p>
        </w:tc>
      </w:tr>
      <w:tr>
        <w:trPr>
          <w:trHeight w:val="425"/>
        </w:trPr>
        <w:tc>
          <w:tcPr>
            <w:tcW w:w="3280" w:type="dxa"/>
            <w:vAlign w:val="bottom"/>
          </w:tcPr>
          <w:p>
            <w:pPr>
              <w:spacing w:after="0"/>
              <w:rPr>
                <w:sz w:val="24"/>
                <w:szCs w:val="24"/>
                <w:color w:val="auto"/>
              </w:rPr>
            </w:pPr>
          </w:p>
        </w:tc>
        <w:tc>
          <w:tcPr>
            <w:tcW w:w="7960" w:type="dxa"/>
            <w:vAlign w:val="bottom"/>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30"/>
        </w:trPr>
        <w:tc>
          <w:tcPr>
            <w:tcW w:w="3280" w:type="dxa"/>
            <w:vAlign w:val="bottom"/>
            <w:tcBorders>
              <w:bottom w:val="single" w:sz="8" w:color="auto"/>
            </w:tcBorders>
          </w:tcPr>
          <w:p>
            <w:pPr>
              <w:spacing w:after="0"/>
              <w:rPr>
                <w:sz w:val="19"/>
                <w:szCs w:val="19"/>
                <w:color w:val="auto"/>
              </w:rPr>
            </w:pPr>
          </w:p>
        </w:tc>
        <w:tc>
          <w:tcPr>
            <w:tcW w:w="7960" w:type="dxa"/>
            <w:vAlign w:val="bottom"/>
            <w:tcBorders>
              <w:bottom w:val="single" w:sz="8" w:color="auto"/>
            </w:tcBorders>
          </w:tcPr>
          <w:p>
            <w:pPr>
              <w:spacing w:after="0"/>
              <w:rPr>
                <w:sz w:val="19"/>
                <w:szCs w:val="19"/>
                <w:color w:val="auto"/>
              </w:rPr>
            </w:pPr>
          </w:p>
        </w:tc>
      </w:tr>
      <w:tr>
        <w:trPr>
          <w:trHeight w:val="407"/>
        </w:trPr>
        <w:tc>
          <w:tcPr>
            <w:tcW w:w="3280" w:type="dxa"/>
            <w:vAlign w:val="bottom"/>
          </w:tcPr>
          <w:p>
            <w:pPr>
              <w:spacing w:after="0"/>
              <w:rPr>
                <w:sz w:val="24"/>
                <w:szCs w:val="24"/>
                <w:color w:val="auto"/>
              </w:rPr>
            </w:pPr>
          </w:p>
        </w:tc>
        <w:tc>
          <w:tcPr>
            <w:tcW w:w="7960" w:type="dxa"/>
            <w:vAlign w:val="bottom"/>
          </w:tcPr>
          <w:p>
            <w:pPr>
              <w:jc w:val="center"/>
              <w:ind w:right="3170"/>
              <w:spacing w:after="0"/>
              <w:rPr>
                <w:sz w:val="20"/>
                <w:szCs w:val="20"/>
                <w:color w:val="auto"/>
              </w:rPr>
            </w:pPr>
            <w:r>
              <w:rPr>
                <w:rFonts w:ascii="Times New Roman" w:cs="Times New Roman" w:eastAsia="Times New Roman" w:hAnsi="Times New Roman"/>
                <w:sz w:val="18"/>
                <w:szCs w:val="18"/>
                <w:color w:val="auto"/>
                <w:w w:val="99"/>
              </w:rPr>
              <w:t>Proxy Statement Pursuant to Section 14(a) of</w:t>
            </w:r>
          </w:p>
        </w:tc>
      </w:tr>
      <w:tr>
        <w:trPr>
          <w:trHeight w:val="234"/>
        </w:trPr>
        <w:tc>
          <w:tcPr>
            <w:tcW w:w="3280" w:type="dxa"/>
            <w:vAlign w:val="bottom"/>
          </w:tcPr>
          <w:p>
            <w:pPr>
              <w:spacing w:after="0"/>
              <w:rPr>
                <w:sz w:val="20"/>
                <w:szCs w:val="20"/>
                <w:color w:val="auto"/>
              </w:rPr>
            </w:pPr>
          </w:p>
        </w:tc>
        <w:tc>
          <w:tcPr>
            <w:tcW w:w="7960" w:type="dxa"/>
            <w:vAlign w:val="bottom"/>
          </w:tcPr>
          <w:p>
            <w:pPr>
              <w:jc w:val="center"/>
              <w:ind w:right="3190"/>
              <w:spacing w:after="0"/>
              <w:rPr>
                <w:sz w:val="20"/>
                <w:szCs w:val="20"/>
                <w:color w:val="auto"/>
              </w:rPr>
            </w:pPr>
            <w:r>
              <w:rPr>
                <w:rFonts w:ascii="Times New Roman" w:cs="Times New Roman" w:eastAsia="Times New Roman" w:hAnsi="Times New Roman"/>
                <w:sz w:val="18"/>
                <w:szCs w:val="18"/>
                <w:color w:val="auto"/>
                <w:w w:val="99"/>
              </w:rPr>
              <w:t>the Securities Exchange Act of 1934 (Amendment No. )</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7960" w:type="dxa"/>
            <w:vAlign w:val="bottom"/>
          </w:tcPr>
          <w:p>
            <w:pPr>
              <w:ind w:left="7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7960" w:type="dxa"/>
            <w:vAlign w:val="bottom"/>
          </w:tcPr>
          <w:p>
            <w:pPr>
              <w:ind w:left="7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7960" w:type="dxa"/>
            <w:vAlign w:val="bottom"/>
          </w:tcPr>
          <w:p>
            <w:pPr>
              <w:spacing w:after="0"/>
              <w:rPr>
                <w:sz w:val="24"/>
                <w:szCs w:val="24"/>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154305</wp:posOffset>
            </wp:positionV>
            <wp:extent cx="3086100" cy="1139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0" cy="1139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ORCHESTRA BIOMED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PROXY STATEMENT DATED APRIL 29,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Explanatory Note: </w:t>
      </w:r>
      <w:r>
        <w:rPr>
          <w:rFonts w:ascii="Times New Roman" w:cs="Times New Roman" w:eastAsia="Times New Roman" w:hAnsi="Times New Roman"/>
          <w:sz w:val="18"/>
          <w:szCs w:val="18"/>
          <w:color w:val="auto"/>
        </w:rPr>
        <w:t>The following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definitive proxy statement, dated April 29, 2026, of Orchestra BioMed Holdings, Inc.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which was filed with the Securities and Exchange Commission on April 29, 2026 (the “Definitive Proxy Statement”).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consists of the Orchestra BioMed Holdings, Inc. 2026 Employee Stock Purchase Plan (the “ESPP”), which was inadvertently omitted from the Definitive Proxy Statement. Accordingly, the Company is filing this supplement to the Definitive Proxy Statement to provide a copy of the ESPP to stockholders. The Company notes, however, that all material information relating to the ESPP was included in the Definitive Proxy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April 22,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June [·], 2026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urpose</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Plan provides a means by which Eligible Employees of the Company and certain Designated Companies may be given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Plan includes two components: a 423 Component and a Non-423 Component. The Company intends (but makes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Company, by means of the Plan, seeks to retain the services of such Eligible Employees, to secure and retain the services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Employees and to provide incentives for such persons to exert maximum efforts for the success of the Company and its Related Corporations.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Board or, to the extent set forth in Section 2(c), the Committee will administer the Plan. References herein to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refer to the Committee except where context dictates otherwise.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To determine how and when Purchase Rights will be granted and the provisions of each Offering (which need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identical).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To designate from time to time (A) which Related Corporations will be eligible to participate in the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423 Corporations, (B) which Related Corporations or Affiliates will be eligible to participate in the Plan as Designated Non-423 Corporations, or (C) which Designated Companies will participate in each separate Offering (to the extent that the Company makes separate Offerings).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(iii)          </w:t>
      </w:r>
      <w:r>
        <w:rPr>
          <w:rFonts w:ascii="Times New Roman" w:cs="Times New Roman" w:eastAsia="Times New Roman" w:hAnsi="Times New Roman"/>
          <w:sz w:val="18"/>
          <w:szCs w:val="18"/>
          <w:color w:val="auto"/>
        </w:rPr>
        <w:t>To construe and interpret the Plan and Purchase Rights, and to establish, amend and revoke rules and regulations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The Board, in the exercise of this power, may correct any defect, omission or inconsistency in the Plan, in a manner and to the extent it deems necessary or expedient to make the Plan fully effective.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color w:val="auto"/>
        </w:rPr>
        <w:t>To suspend or terminate the Plan at any time as provided in Section 12.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color w:val="auto"/>
        </w:rPr>
        <w:t>To amend the Plan at any time as provided in Section 12.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color w:val="auto"/>
        </w:rPr>
        <w:t>Generally, to exercise such powers and to perform such acts as it deems necessary, or expedient to promote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the Company and its Related Corporations and to carry out the intent that the Plan be treated as an Employee Stock Purchase Plan with respect to the 423 Component.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color w:val="auto"/>
        </w:rPr>
        <w:t>To adopt such rules, procedures and sub-plans as are necessary or appropriate to permit or facilitate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Corporation, do not have to comply with the requirements of Section 423 of the Code.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or either of them have delegated authority to other persons or groups of persons, the Board will have the final power to determine all questions of policy and expediency that may arise in the administration of the Plan.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final, binding and conclusive on all persons.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S</w:t>
      </w:r>
      <w:r>
        <w:rPr>
          <w:rFonts w:ascii="Times New Roman" w:cs="Times New Roman" w:eastAsia="Times New Roman" w:hAnsi="Times New Roman"/>
          <w:sz w:val="12"/>
          <w:szCs w:val="12"/>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Subject to the provisions of Section 11(a) relating to Capitalization Adjustments, the maximum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issued under the Plan will not exceed 750,000 shares of Common Stock. The limitation set forth in this section may be used to satisfy purchases of shares of Common Stock under either the 423 Component or the Non-423 Component of the Plan.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any Purchase Right granted under the Plan terminates without having been exercised in full, the shares of Common Stock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under such Purchase Right will again become available for issuance under the Plan.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stock purchasable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G</w:t>
      </w:r>
      <w:r>
        <w:rPr>
          <w:rFonts w:ascii="Times New Roman" w:cs="Times New Roman" w:eastAsia="Times New Roman" w:hAnsi="Times New Roman"/>
          <w:sz w:val="12"/>
          <w:szCs w:val="12"/>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ffering</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Board may, from time to time, grant or provide for the grant of Purchase Rights to Eligible Employees under an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 Participant has more than one Purchase Right outstanding under the Plan, unless he or she otherwise indicates in 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Company or a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Board will have the discretion to structure an Offering, so that if the Fair Market Value of a share of Common Stock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Purchase Rights may be granted only to Employees of the Company or, as the Board may designate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2(b), to Employees of a Related Corporation or an Affiliate. Except as provided in Section 5(b) or as required by Applicable Law, an Employee will not be eligible to be granted Purchase Rights unless, on the Offering Date, the Employee has been in the employ of the Company or the Related Corporation or an Affiliate, as the case may be, for such continuous period preceding such Offering Date as the Board may require, but in no event will the required period of continuous employment be equal to or greater than two years with respect to the 423 Component. In addition, the Board may (unless prohibited by Applicable Law)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Board may provide that each person who, during the course of an Offering, is an Eligible Employee not currently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current Offering (which shall, for avoidance of doubt, include any Eligible Employee that withdrew from the current Offering pursuant to Section 7(b)) will on a date or dates specified in the Offering, if the Eligible Employee so elects, receive a Purchase Right under that Offering, which Purchase Right will thereafter be deemed to be a part of that Offering; provided, however, if such an Eligible Employee previously withdrew from the current Offering pursuant to Section 7(b), such Eligible Employee shall only be permitted to rejoin the Offering after the first exercise of Purchase Rights following the Eligible Employee’s withdrawal. Such Purchase Right will have the same characteristics as any Purchase Rights originally granted under that Offering, as described herein, except that: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the date on which such Purchase Right is granted will be the “Offering Date” of such Purchase Right for all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determination of the exercise price of such Purchase Right;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 xml:space="preserve">(ii)           </w:t>
      </w:r>
      <w:r>
        <w:rPr>
          <w:rFonts w:ascii="Times New Roman" w:cs="Times New Roman" w:eastAsia="Times New Roman" w:hAnsi="Times New Roman"/>
          <w:sz w:val="17"/>
          <w:szCs w:val="17"/>
          <w:color w:val="auto"/>
        </w:rPr>
        <w:t>the period of the Offering with respect to such Purchase Right will begin on its Offering Date and end coincident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such Offering; and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(iii)         </w:t>
      </w:r>
      <w:r>
        <w:rPr>
          <w:rFonts w:ascii="Times New Roman" w:cs="Times New Roman" w:eastAsia="Times New Roman" w:hAnsi="Times New Roman"/>
          <w:sz w:val="18"/>
          <w:szCs w:val="18"/>
          <w:color w:val="auto"/>
        </w:rPr>
        <w:t>the Board may provide that if such person first becomes an Eligible Employee within a specified period of time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 of the Offering, he or she will not receive any Purchase Right under that Offering.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With respect to the 423 Component, no Employee will be eligible for the grant of any Purchase Rights if, immediately after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Purchase Rights are granted, such Employee owns stock possessing 5% or more of the total combined voting power or value of all classes of stock of the Company or of any Related Corporation. For purposes of this Section 5(c), the rules of Section 424(d) of the Code will apply in determining the stock ownership of any Employee, and stock that such Employee may purchase under all outstanding Purchase Rights and options will be treated as stock owned by such Employee.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With respect to the 423 Component, as specified by Section 423(b)(8) of the Code, an Eligible Employee may be granted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Officers of the Company and any Designated Company, if they are otherwise Eligible Employees, will be eligible to participate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Notwithstanding anything in this Section 5 to the contrary, in the case of an Offering under the Non-423 Component,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rice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On each Offering Date, each Eligible Employee, pursuant to an Offering made under the Plan, will be granted a Purchase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up to that number of shares of Common Stock equal to either (i) a percentage of such Employee’s earnings or (ii) a maximum dollar amount, as designated by the Board, but in either case not exceeding 100% (or such lesser percentage as the Board may determine prior to the start of an Offering)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Board will establish one or more Purchase Dates during an Offering on which Purchase Rights granted for that Offering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exercised and shares of Common Stock will be purchased in accordance with such Offering.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In connection with each Offering made under the Plan, no Eligible Employee may purchase a number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Fair Market Value on the Offering Date greater than $75,000 (but still subject to the limitations set forth in Section 5(d) above), or such lesser number of shares determined by the Board prior to the commencement of the Offering, and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purchase price of shares of Common Stock acquired pursuant to Purchase Rights will be not less than the lesser of: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            P</w:t>
      </w:r>
      <w:r>
        <w:rPr>
          <w:rFonts w:ascii="Times New Roman" w:cs="Times New Roman" w:eastAsia="Times New Roman" w:hAnsi="Times New Roman"/>
          <w:sz w:val="12"/>
          <w:szCs w:val="12"/>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2"/>
          <w:szCs w:val="12"/>
          <w:b w:val="1"/>
          <w:bCs w:val="1"/>
          <w:color w:val="auto"/>
        </w:rPr>
        <w:t>olding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eriod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An Eligible Employee may elect to participate in an Offering and authorize payroll deductions as the means of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During an Offering, a Participant may cease making Contributions and withdraw from the Offering by delivering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Unless otherwise required by Applicable Law, Purchase Rights granted pursuant to any Offering under the Plan will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otherwise determined by the Board, a Participant whose employment transfers or whose employment terminates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The Board may with respect to any and all Offerings impose a Holding Period on shares of Common Stock acquired during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Offering. During any such Holding Period, a Participant shall not be able to sell the shares of Common Stock acquired pursuant to the Offering for which such Holding Period was imposed and will be at market risk with respect to such shares of Common Stock.</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Participant, except by will, by the laws of descent and distribution, or, if permitted by the Company, by a beneficiary designation as described in Section 10.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 xml:space="preserve">(g)           </w:t>
      </w:r>
      <w:r>
        <w:rPr>
          <w:rFonts w:ascii="Times New Roman" w:cs="Times New Roman" w:eastAsia="Times New Roman" w:hAnsi="Times New Roman"/>
          <w:sz w:val="17"/>
          <w:szCs w:val="17"/>
          <w:color w:val="auto"/>
        </w:rPr>
        <w:t>Unless otherwise specified in the Offering or as required by Applicable Law, the Company will have no obligation to pay interest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Contributions.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E</w:t>
      </w:r>
      <w:r>
        <w:rPr>
          <w:rFonts w:ascii="Times New Roman" w:cs="Times New Roman" w:eastAsia="Times New Roman" w:hAnsi="Times New Roman"/>
          <w:sz w:val="12"/>
          <w:szCs w:val="12"/>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On each Purchase Date, each Participant’s accumulated Contributions will be applied to the purchase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the maximum number of shares of Common Stock permitted by the Plan and the applicable Offering, at the purchase price specified in the Offering. No fractional shares will be issued unless specifically provided for in the Offering.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Unless otherwise provided in the Offering, if the amount of accumulated Contributions that remains in a Participant’s account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of shares of Common Stock on the final Purchase Date of an Offering is less than the amount to have purchased one full share of Common Stock, then such remaining amount will roll over to the next Offering (unless otherwise required by Applicable Law). For the avoidance of doubt, and unless otherwise provided in the Offering, if the amount of accumulated Contributions that remains in a Participant’s account after the purchase of shares of Common Stock on the final Purchase Date of an Offering equals or exceeds the amount to have purchased one full share of Common Stock, then such amounts will be distributed in full to such Participant after the final Purchase Date of such Offering without interest (unless otherwise required by Applicable Law).</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No Purchase Rights may be exercised to any extent unless the shares of Common Stock to be issued upon such exercise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D</w:t>
      </w:r>
      <w:r>
        <w:rPr>
          <w:rFonts w:ascii="Times New Roman" w:cs="Times New Roman" w:eastAsia="Times New Roman" w:hAnsi="Times New Roman"/>
          <w:sz w:val="12"/>
          <w:szCs w:val="12"/>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eneficiary</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may, but is not obligated to, permit a Participant to submit a form designating a beneficiary who will receive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 the event of a Capitalization Adjustment, the Board will appropriately and proportionately adjust: (i) the class(es) and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(A)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or (B) the Board, in its discretion, may terminate any outstanding Offerings, cancel the outstanding Purchase Rights and refund the Participants’ accumulated Contributions.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Board may amend the Plan at any time in any respect the Board deems necessary or advisable. However, stockholder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required for any amendment of the Plan for which stockholder approval is required by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Board may suspend or terminate the Plan at any time. No Purchase Rights may be granted under the Plan while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after it is terminated.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benefits, privileges, entitlements and obligations under any outstanding Purchase Rights granted before an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13.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ualification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Although the Company may endeavor to (i) qualify a Purchase Right for special tax treatment under the laws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Each Participant will make arrangements, satisfactory to the Company and any applicable Related Corporation, to enable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Plan will become effective on the date on which the Company’s stockholders approve the adoption of the Plan.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300" w:right="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 Participant will not be deemed to be the holder of, or to have any of the rights of a holder with respect to,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subject to Purchase Rights unless and until the Participant’s shares of Common Stock acquired upon exercise of Purchase Rights are recorded in the books of the Company (or its transfer agent).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provisions of the Plan will be governed by the laws of the State of Delaware without resort to that state’s conflicts of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but the Plan will be construed in all respects as if such invalid provision were omitted.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If any provision of the Plan does not comply with Applicable Law, such provision shall be construed in such a manner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16.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for an Employee Stock Purchase Plan may be granted to Eligible Employees.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Code and any applicable U.S. or non-U.S. securities, federal, state, foreign, material local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LLC, the New York Stock Exchange or the Financial Industry Regulatory Authority, Inc.).</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 xml:space="preserve">(f)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U.S. Internal Revenue Code of 1986, as amended, including any applicable regulations and guidance thereunder.</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Orchestra BioMed Holdings, Inc., a Delaware corporation.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following events: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a sale or other disposition of all or substantially all, as determined by the Board in its sole discretion, of the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of the Company and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(iii)          </w:t>
      </w: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a merger, consolidation or similar transaction following which the Company is the surviving corporation but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Corporation</w:t>
      </w:r>
      <w:r>
        <w:rPr>
          <w:rFonts w:ascii="Times New Roman" w:cs="Times New Roman" w:eastAsia="Times New Roman" w:hAnsi="Times New Roman"/>
          <w:sz w:val="18"/>
          <w:szCs w:val="18"/>
          <w:color w:val="auto"/>
        </w:rPr>
        <w:t>” means any Related Corporation selected by the Board to participate in the 423 Component.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Corporation or Designated 423 Corporation, provided, however, that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given time, a Related Corporation participating in the 423 Component shall not be a Related Corporation participating in the Non-423 Component.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Corporation</w:t>
      </w:r>
      <w:r>
        <w:rPr>
          <w:rFonts w:ascii="Times New Roman" w:cs="Times New Roman" w:eastAsia="Times New Roman" w:hAnsi="Times New Roman"/>
          <w:sz w:val="18"/>
          <w:szCs w:val="18"/>
          <w:color w:val="auto"/>
        </w:rPr>
        <w:t>” means any Related Corporation or Affiliate selected by the Board to participate in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Component.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eligibility to participate in the Offering, provided that such Employee also meets the requirements for eligibility to participate set forth in the Plan.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purchase plan,” as that term is defined in Section 423(b) of the Code.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If the Common Stock is listed on any established stock exchange or traded on any established market, the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In the absence of such markets for the Common Stock, the Fair Market Value will be determined by the Board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in compliance with Applicable Laws and regulations and, to the extent applicable as determined in the sole discretion of the Board, in a manner that complies with Section 409A of the Code.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(u)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LLC, the New York Stock Exchange and the Financial Industry Regulatory Authority, Inc.).</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 Period</w:t>
      </w:r>
      <w:r>
        <w:rPr>
          <w:rFonts w:ascii="Times New Roman" w:cs="Times New Roman" w:eastAsia="Times New Roman" w:hAnsi="Times New Roman"/>
          <w:sz w:val="18"/>
          <w:szCs w:val="18"/>
          <w:color w:val="auto"/>
        </w:rPr>
        <w:t>” means a period of up to one year from the Purchase Date during which a Participant may not sell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acquired under the Plan on such Purchase Date, which Holding Period may be waived by the Board in its sole discretion.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intended to satisfy the requirements for an Employee Stock Purchase Plan may be granted to Eligible Employees.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(aa)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Orchestra BioMed Holdings, Inc. 2026 Employee Stock Purchase Plan,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both the 423 Component and the Non-423 Component.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which purchases of shares of Common Stock will be carried out in accordance with such Offering.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Day following a Purchase Date, and ending on a Purchase Date. An Offering may consist of one or more Purchase Periods.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as those terms are defined in Sections 424(e) and (f), respectively, of the Code.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(hh)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limited to the New York Stock Exchange, the Nasdaq Global Select Market, the Nasdaq Global Market, the Nasdaq Capital Market or any successors thereto, is open for trading.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2026-06-16T05:15:22Z</dcterms:created>
  <dcterms:modified xsi:type="dcterms:W3CDTF">2026-06-16T05:15:22Z</dcterms:modified>
</cp:coreProperties>
</file>