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-225425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3976370</wp:posOffset>
            </wp:positionH>
            <wp:positionV relativeFrom="paragraph">
              <wp:posOffset>-626110</wp:posOffset>
            </wp:positionV>
            <wp:extent cx="58420" cy="63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743585</wp:posOffset>
            </wp:positionV>
            <wp:extent cx="7046595" cy="495490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954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3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Cleary Chris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 w:right="300"/>
        <w:spacing w:after="0" w:line="343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ORCHESTRA BIOMED HOLDINGS, INC. 150 UNION SQUARE DRIVE</w:t>
      </w:r>
    </w:p>
    <w:p>
      <w:pPr>
        <w:spacing w:after="0" w:line="17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HOPE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18938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42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Orchestra BioMed Holdings,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OBIO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8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06/23/2026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20" w:type="dxa"/>
            <w:vAlign w:val="bottom"/>
            <w:gridSpan w:val="3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1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par value $0.0001 per share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06/24/2026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F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3,510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33,391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20" w:type="dxa"/>
            <w:vAlign w:val="bottom"/>
            <w:gridSpan w:val="10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4.04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06/23/2026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42,553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06/23/2036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16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42,553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42,553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 w:right="500" w:firstLine="2"/>
        <w:spacing w:after="0" w:line="255" w:lineRule="auto"/>
        <w:tabs>
          <w:tab w:leader="none" w:pos="16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the withholding of shares by the Issuer to satisfy tax withholding obligations in connection with vesting of restricted stock units ("RSUs"). No shares were sold in the market as a result of the vesting of these RSUs and the satisfaction of tax withholding obligations.</w:t>
      </w:r>
    </w:p>
    <w:p>
      <w:pPr>
        <w:spacing w:after="0" w:line="1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stock options will vest on the one year anniversary of June 23rd, 2026 (the "Grant Date"), subject to the Reporting Person's continuous service through such date.</w:t>
      </w:r>
    </w:p>
    <w:p>
      <w:pPr>
        <w:ind w:left="6600"/>
        <w:spacing w:after="0" w:line="18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Andrew Taylor, Attorney-in-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06/25/2026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-27305</wp:posOffset>
            </wp:positionV>
            <wp:extent cx="135382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38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-20320</wp:posOffset>
            </wp:positionV>
            <wp:extent cx="1835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5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5586730</wp:posOffset>
            </wp:positionH>
            <wp:positionV relativeFrom="paragraph">
              <wp:posOffset>-85725</wp:posOffset>
            </wp:positionV>
            <wp:extent cx="48514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1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2054585" TargetMode="External"/><Relationship Id="rId14" Type="http://schemas.openxmlformats.org/officeDocument/2006/relationships/hyperlink" Target="http://www.sec.gov/cgi-bin/browse-edgar?action=getcompany&amp;CIK=000181411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2026-06-25T15:58:47Z</dcterms:created>
  <dcterms:modified xsi:type="dcterms:W3CDTF">2026-06-25T15:58:47Z</dcterms:modified>
</cp:coreProperties>
</file>