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July 4, 2022</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u w:val="single" w:color="auto"/>
          <w:color w:val="auto"/>
        </w:rPr>
        <w:t>Health Sciences Acquisitions Corporation 2</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98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001-39421</w:t>
            </w:r>
          </w:p>
        </w:tc>
        <w:tc>
          <w:tcPr>
            <w:tcW w:w="220" w:type="dxa"/>
            <w:vAlign w:val="bottom"/>
          </w:tcPr>
          <w:p>
            <w:pPr>
              <w:spacing w:after="0"/>
              <w:rPr>
                <w:sz w:val="21"/>
                <w:szCs w:val="21"/>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234"/>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980" w:type="dxa"/>
            <w:vAlign w:val="bottom"/>
            <w:tcBorders>
              <w:top w:val="single" w:sz="8" w:color="auto"/>
            </w:tcBorders>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8"/>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40 10th Avenue, Floor 7</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10014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2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(646) 597-6980</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(Former name or former address, if changed since last report)</w:t>
      </w:r>
    </w:p>
    <w:p>
      <w:pPr>
        <w:spacing w:after="0" w:line="20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Ordinary Shares</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HSAQ</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6" w:lineRule="exact"/>
        <w:rPr>
          <w:sz w:val="24"/>
          <w:szCs w:val="24"/>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(17 CFR §230.405) or Rule 12b-2 of the Securities Exchange Act of 1934 (17 CFR §240.12b-2).</w:t>
      </w:r>
    </w:p>
    <w:p>
      <w:pPr>
        <w:spacing w:after="0" w:line="165"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rPr>
        <w:t>☒</w:t>
      </w:r>
    </w:p>
    <w:p>
      <w:pPr>
        <w:spacing w:after="0" w:line="267" w:lineRule="exact"/>
        <w:rPr>
          <w:sz w:val="24"/>
          <w:szCs w:val="24"/>
          <w:color w:val="auto"/>
        </w:rPr>
      </w:pPr>
    </w:p>
    <w:p>
      <w:pPr>
        <w:ind w:right="140"/>
        <w:spacing w:after="0" w:line="280"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1.01 Entry into a Material Definitive Agreement</w:t>
      </w:r>
    </w:p>
    <w:p>
      <w:pPr>
        <w:spacing w:after="0" w:line="234" w:lineRule="exact"/>
        <w:rPr>
          <w:sz w:val="20"/>
          <w:szCs w:val="20"/>
          <w:color w:val="auto"/>
        </w:rPr>
      </w:pPr>
    </w:p>
    <w:p>
      <w:pPr>
        <w:jc w:val="both"/>
        <w:ind w:firstLine="389"/>
        <w:spacing w:after="0" w:line="234" w:lineRule="auto"/>
        <w:rPr>
          <w:sz w:val="20"/>
          <w:szCs w:val="20"/>
          <w:color w:val="auto"/>
        </w:rPr>
      </w:pPr>
      <w:r>
        <w:rPr>
          <w:rFonts w:ascii="Times New Roman" w:cs="Times New Roman" w:eastAsia="Times New Roman" w:hAnsi="Times New Roman"/>
          <w:sz w:val="22"/>
          <w:szCs w:val="22"/>
          <w:color w:val="auto"/>
        </w:rPr>
        <w:t>On July 4, 2022, Health Sciences Acquisition Corporation 2, a Cayman Islands exempted company (“</w:t>
      </w:r>
      <w:r>
        <w:rPr>
          <w:rFonts w:ascii="Times New Roman" w:cs="Times New Roman" w:eastAsia="Times New Roman" w:hAnsi="Times New Roman"/>
          <w:sz w:val="22"/>
          <w:szCs w:val="22"/>
          <w:b w:val="1"/>
          <w:bCs w:val="1"/>
          <w:color w:val="auto"/>
        </w:rPr>
        <w:t>HSAC2</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entered into an Agreement and Plan of Merger Agreement (the “</w:t>
      </w:r>
      <w:r>
        <w:rPr>
          <w:rFonts w:ascii="Times New Roman" w:cs="Times New Roman" w:eastAsia="Times New Roman" w:hAnsi="Times New Roman"/>
          <w:sz w:val="22"/>
          <w:szCs w:val="22"/>
          <w:b w:val="1"/>
          <w:bCs w:val="1"/>
          <w:color w:val="auto"/>
        </w:rPr>
        <w:t>Merger Agreement</w:t>
      </w:r>
      <w:r>
        <w:rPr>
          <w:rFonts w:ascii="Times New Roman" w:cs="Times New Roman" w:eastAsia="Times New Roman" w:hAnsi="Times New Roman"/>
          <w:sz w:val="22"/>
          <w:szCs w:val="22"/>
          <w:color w:val="auto"/>
        </w:rPr>
        <w:t>”) by and among HSAC2, HSAC Olympus Merger Sub, Inc., a Delaware corporation and wholly owned subsidiary of HSAC2 (“</w:t>
      </w:r>
      <w:r>
        <w:rPr>
          <w:rFonts w:ascii="Times New Roman" w:cs="Times New Roman" w:eastAsia="Times New Roman" w:hAnsi="Times New Roman"/>
          <w:sz w:val="22"/>
          <w:szCs w:val="22"/>
          <w:b w:val="1"/>
          <w:bCs w:val="1"/>
          <w:color w:val="auto"/>
        </w:rPr>
        <w:t>Merger Sub</w:t>
      </w:r>
      <w:r>
        <w:rPr>
          <w:rFonts w:ascii="Times New Roman" w:cs="Times New Roman" w:eastAsia="Times New Roman" w:hAnsi="Times New Roman"/>
          <w:sz w:val="22"/>
          <w:szCs w:val="22"/>
          <w:color w:val="auto"/>
        </w:rPr>
        <w:t>”), and Orchestra BioMed, Inc., a Delaware corporation (“</w:t>
      </w:r>
      <w:r>
        <w:rPr>
          <w:rFonts w:ascii="Times New Roman" w:cs="Times New Roman" w:eastAsia="Times New Roman" w:hAnsi="Times New Roman"/>
          <w:sz w:val="22"/>
          <w:szCs w:val="22"/>
          <w:b w:val="1"/>
          <w:bCs w:val="1"/>
          <w:color w:val="auto"/>
        </w:rPr>
        <w:t>Orchestra</w:t>
      </w:r>
      <w:r>
        <w:rPr>
          <w:rFonts w:ascii="Times New Roman" w:cs="Times New Roman" w:eastAsia="Times New Roman" w:hAnsi="Times New Roman"/>
          <w:sz w:val="22"/>
          <w:szCs w:val="22"/>
          <w:color w:val="auto"/>
        </w:rPr>
        <w:t>”). Pursuant to the terms of the Merger Agreement, a business combination between HSAC2 and Orchestra (the “</w:t>
      </w:r>
      <w:r>
        <w:rPr>
          <w:rFonts w:ascii="Times New Roman" w:cs="Times New Roman" w:eastAsia="Times New Roman" w:hAnsi="Times New Roman"/>
          <w:sz w:val="22"/>
          <w:szCs w:val="22"/>
          <w:b w:val="1"/>
          <w:bCs w:val="1"/>
          <w:color w:val="auto"/>
        </w:rPr>
        <w:t>Business Combination</w:t>
      </w:r>
      <w:r>
        <w:rPr>
          <w:rFonts w:ascii="Times New Roman" w:cs="Times New Roman" w:eastAsia="Times New Roman" w:hAnsi="Times New Roman"/>
          <w:sz w:val="22"/>
          <w:szCs w:val="22"/>
          <w:color w:val="auto"/>
        </w:rPr>
        <w:t>”) will be effected in two steps. First, before the closing of the Business Combination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HSAC2 will deregister in the Cayman Islands and domesticate as a Delaware corporation in accordance with Section 388 of the Delaware General Corporation Law and the Cayman Islands Companies Act (As Revised) (the “</w:t>
      </w:r>
      <w:r>
        <w:rPr>
          <w:rFonts w:ascii="Times New Roman" w:cs="Times New Roman" w:eastAsia="Times New Roman" w:hAnsi="Times New Roman"/>
          <w:sz w:val="22"/>
          <w:szCs w:val="22"/>
          <w:b w:val="1"/>
          <w:bCs w:val="1"/>
          <w:color w:val="auto"/>
        </w:rPr>
        <w:t>Domestication</w:t>
      </w:r>
      <w:r>
        <w:rPr>
          <w:rFonts w:ascii="Times New Roman" w:cs="Times New Roman" w:eastAsia="Times New Roman" w:hAnsi="Times New Roman"/>
          <w:sz w:val="22"/>
          <w:szCs w:val="22"/>
          <w:color w:val="auto"/>
        </w:rPr>
        <w:t>”). Second, at the Closing, Merger Sub will merge with and into Orchestra, with Orchestra surviving such merger as the surviving entity (the “</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 Upon consummation of the Business Combination, Orchestra will become a wholly owned subsidiary of HSAC2. HSAC2 will then change its name to “Orchestra BioMed Holdings, Inc.” We refer to HSAC2, after giving effect to the Business Combination, as “</w:t>
      </w:r>
      <w:r>
        <w:rPr>
          <w:rFonts w:ascii="Times New Roman" w:cs="Times New Roman" w:eastAsia="Times New Roman" w:hAnsi="Times New Roman"/>
          <w:sz w:val="22"/>
          <w:szCs w:val="22"/>
          <w:b w:val="1"/>
          <w:bCs w:val="1"/>
          <w:color w:val="auto"/>
        </w:rPr>
        <w:t>New Orchestra</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firstLine="389"/>
        <w:spacing w:after="0" w:line="236" w:lineRule="auto"/>
        <w:rPr>
          <w:sz w:val="20"/>
          <w:szCs w:val="20"/>
          <w:color w:val="auto"/>
        </w:rPr>
      </w:pPr>
      <w:r>
        <w:rPr>
          <w:rFonts w:ascii="Times New Roman" w:cs="Times New Roman" w:eastAsia="Times New Roman" w:hAnsi="Times New Roman"/>
          <w:sz w:val="22"/>
          <w:szCs w:val="22"/>
          <w:color w:val="auto"/>
        </w:rPr>
        <w:t>Simultaneously with the execution of the Merger Agreement, HSAC2 and Orchestra entered into separate forward purchase agreements (the “</w:t>
      </w:r>
      <w:r>
        <w:rPr>
          <w:rFonts w:ascii="Times New Roman" w:cs="Times New Roman" w:eastAsia="Times New Roman" w:hAnsi="Times New Roman"/>
          <w:sz w:val="22"/>
          <w:szCs w:val="22"/>
          <w:b w:val="1"/>
          <w:bCs w:val="1"/>
          <w:color w:val="auto"/>
        </w:rPr>
        <w:t>Forward Purchase Agreements</w:t>
      </w:r>
      <w:r>
        <w:rPr>
          <w:rFonts w:ascii="Times New Roman" w:cs="Times New Roman" w:eastAsia="Times New Roman" w:hAnsi="Times New Roman"/>
          <w:sz w:val="22"/>
          <w:szCs w:val="22"/>
          <w:color w:val="auto"/>
        </w:rPr>
        <w:t>”) with certain funds managed by RTW Investments, LP (the “</w:t>
      </w:r>
      <w:r>
        <w:rPr>
          <w:rFonts w:ascii="Times New Roman" w:cs="Times New Roman" w:eastAsia="Times New Roman" w:hAnsi="Times New Roman"/>
          <w:sz w:val="22"/>
          <w:szCs w:val="22"/>
          <w:b w:val="1"/>
          <w:bCs w:val="1"/>
          <w:color w:val="auto"/>
        </w:rPr>
        <w:t>RTW Funds</w:t>
      </w:r>
      <w:r>
        <w:rPr>
          <w:rFonts w:ascii="Times New Roman" w:cs="Times New Roman" w:eastAsia="Times New Roman" w:hAnsi="Times New Roman"/>
          <w:sz w:val="22"/>
          <w:szCs w:val="22"/>
          <w:color w:val="auto"/>
        </w:rPr>
        <w:t>”) and Covidien Group S.à.r.l., an affiliate of Medtronic plc (“</w:t>
      </w:r>
      <w:r>
        <w:rPr>
          <w:rFonts w:ascii="Times New Roman" w:cs="Times New Roman" w:eastAsia="Times New Roman" w:hAnsi="Times New Roman"/>
          <w:sz w:val="22"/>
          <w:szCs w:val="22"/>
          <w:b w:val="1"/>
          <w:bCs w:val="1"/>
          <w:color w:val="auto"/>
        </w:rPr>
        <w:t>Medtronic</w:t>
      </w:r>
      <w:r>
        <w:rPr>
          <w:rFonts w:ascii="Times New Roman" w:cs="Times New Roman" w:eastAsia="Times New Roman" w:hAnsi="Times New Roman"/>
          <w:sz w:val="22"/>
          <w:szCs w:val="22"/>
          <w:color w:val="auto"/>
        </w:rPr>
        <w:t>” and the RTW Funds, each a “</w:t>
      </w:r>
      <w:r>
        <w:rPr>
          <w:rFonts w:ascii="Times New Roman" w:cs="Times New Roman" w:eastAsia="Times New Roman" w:hAnsi="Times New Roman"/>
          <w:sz w:val="22"/>
          <w:szCs w:val="22"/>
          <w:b w:val="1"/>
          <w:bCs w:val="1"/>
          <w:color w:val="auto"/>
        </w:rPr>
        <w:t>Purchasing Party</w:t>
      </w:r>
      <w:r>
        <w:rPr>
          <w:rFonts w:ascii="Times New Roman" w:cs="Times New Roman" w:eastAsia="Times New Roman" w:hAnsi="Times New Roman"/>
          <w:sz w:val="22"/>
          <w:szCs w:val="22"/>
          <w:color w:val="auto"/>
        </w:rPr>
        <w:t>”), pursuant to which each of the Purchasing Parties agreed to purchase $10 million of HSAC2 ordinary shares, for a total of $20 million, less the dollar amount of HSAC2 ordinary shares holding redemption rights that the Purchasing Party acquires and holds until immediately prior to the Domestication.</w:t>
      </w:r>
    </w:p>
    <w:p>
      <w:pPr>
        <w:spacing w:after="0" w:line="208" w:lineRule="exact"/>
        <w:rPr>
          <w:sz w:val="20"/>
          <w:szCs w:val="20"/>
          <w:color w:val="auto"/>
        </w:rPr>
      </w:pPr>
    </w:p>
    <w:p>
      <w:pPr>
        <w:jc w:val="both"/>
        <w:ind w:firstLine="389"/>
        <w:spacing w:after="0" w:line="236" w:lineRule="auto"/>
        <w:rPr>
          <w:sz w:val="20"/>
          <w:szCs w:val="20"/>
          <w:color w:val="auto"/>
        </w:rPr>
      </w:pPr>
      <w:r>
        <w:rPr>
          <w:rFonts w:ascii="Times New Roman" w:cs="Times New Roman" w:eastAsia="Times New Roman" w:hAnsi="Times New Roman"/>
          <w:sz w:val="22"/>
          <w:szCs w:val="22"/>
          <w:color w:val="auto"/>
        </w:rPr>
        <w:t>Simultaneously with the execution of the Merger Agreement and Forward Purchase Agreements, HSAC2, Orchestra, and the RTW Funds entered into a Backstop Agreement (the “</w:t>
      </w:r>
      <w:r>
        <w:rPr>
          <w:rFonts w:ascii="Times New Roman" w:cs="Times New Roman" w:eastAsia="Times New Roman" w:hAnsi="Times New Roman"/>
          <w:sz w:val="22"/>
          <w:szCs w:val="22"/>
          <w:b w:val="1"/>
          <w:bCs w:val="1"/>
          <w:color w:val="auto"/>
        </w:rPr>
        <w:t>Backstop Agreement</w:t>
      </w:r>
      <w:r>
        <w:rPr>
          <w:rFonts w:ascii="Times New Roman" w:cs="Times New Roman" w:eastAsia="Times New Roman" w:hAnsi="Times New Roman"/>
          <w:sz w:val="22"/>
          <w:szCs w:val="22"/>
          <w:color w:val="auto"/>
        </w:rPr>
        <w:t>”) pursuant to which the RTW Funds, jointly and severally, agreed to purchase such number of HSAC2 ordinary shares at a price of $10.00 per share to the extent that the amount of Parent Closing Cash (as defined in the Merger Agreement) as of immediately prior to the closing of the Merger is less than $60 million (the “</w:t>
      </w:r>
      <w:r>
        <w:rPr>
          <w:rFonts w:ascii="Times New Roman" w:cs="Times New Roman" w:eastAsia="Times New Roman" w:hAnsi="Times New Roman"/>
          <w:sz w:val="22"/>
          <w:szCs w:val="22"/>
          <w:b w:val="1"/>
          <w:bCs w:val="1"/>
          <w:color w:val="auto"/>
        </w:rPr>
        <w:t>Minimum Available Cash Condition</w:t>
      </w:r>
      <w:r>
        <w:rPr>
          <w:rFonts w:ascii="Times New Roman" w:cs="Times New Roman" w:eastAsia="Times New Roman" w:hAnsi="Times New Roman"/>
          <w:sz w:val="22"/>
          <w:szCs w:val="22"/>
          <w:color w:val="auto"/>
        </w:rPr>
        <w:t>”) (inclusive of the $10 million commitment by the RTW Funds pursuant to the Forward Purchase Agreement described above (the “</w:t>
      </w:r>
      <w:r>
        <w:rPr>
          <w:rFonts w:ascii="Times New Roman" w:cs="Times New Roman" w:eastAsia="Times New Roman" w:hAnsi="Times New Roman"/>
          <w:sz w:val="22"/>
          <w:szCs w:val="22"/>
          <w:b w:val="1"/>
          <w:bCs w:val="1"/>
          <w:color w:val="auto"/>
        </w:rPr>
        <w:t>Sponsor Commitment</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firstLine="389"/>
        <w:spacing w:after="0" w:line="238" w:lineRule="auto"/>
        <w:rPr>
          <w:sz w:val="20"/>
          <w:szCs w:val="20"/>
          <w:color w:val="auto"/>
        </w:rPr>
      </w:pPr>
      <w:r>
        <w:rPr>
          <w:rFonts w:ascii="Times New Roman" w:cs="Times New Roman" w:eastAsia="Times New Roman" w:hAnsi="Times New Roman"/>
          <w:sz w:val="22"/>
          <w:szCs w:val="22"/>
          <w:color w:val="auto"/>
        </w:rPr>
        <w:t>The closings under the Forward Purchase Agreements and Backstop Agreement, if any, will occur immediately prior to the Domestication. HSAC 2 Holdings, LLC, HSAC2’s sponsor (the “</w:t>
      </w:r>
      <w:r>
        <w:rPr>
          <w:rFonts w:ascii="Times New Roman" w:cs="Times New Roman" w:eastAsia="Times New Roman" w:hAnsi="Times New Roman"/>
          <w:sz w:val="22"/>
          <w:szCs w:val="22"/>
          <w:b w:val="1"/>
          <w:bCs w:val="1"/>
          <w:color w:val="auto"/>
        </w:rPr>
        <w:t>Sponsor</w:t>
      </w:r>
      <w:r>
        <w:rPr>
          <w:rFonts w:ascii="Times New Roman" w:cs="Times New Roman" w:eastAsia="Times New Roman" w:hAnsi="Times New Roman"/>
          <w:sz w:val="22"/>
          <w:szCs w:val="22"/>
          <w:color w:val="auto"/>
        </w:rPr>
        <w:t>”), and the Purchasing Parties will have registration rights pursuant to the Amended and Restated Registration Rights and Lock-Up Agreement described below with respect to the shares of HSAC2 common stock, par value $0.0001 per share, received in the Domestication (“</w:t>
      </w:r>
      <w:r>
        <w:rPr>
          <w:rFonts w:ascii="Times New Roman" w:cs="Times New Roman" w:eastAsia="Times New Roman" w:hAnsi="Times New Roman"/>
          <w:sz w:val="22"/>
          <w:szCs w:val="22"/>
          <w:b w:val="1"/>
          <w:bCs w:val="1"/>
          <w:color w:val="auto"/>
        </w:rPr>
        <w:t>HSAC2 Common Stock</w:t>
      </w:r>
      <w:r>
        <w:rPr>
          <w:rFonts w:ascii="Times New Roman" w:cs="Times New Roman" w:eastAsia="Times New Roman" w:hAnsi="Times New Roman"/>
          <w:sz w:val="22"/>
          <w:szCs w:val="22"/>
          <w:color w:val="auto"/>
        </w:rPr>
        <w:t>”). We refer to HSAC2 Common Stock, after giving effect to the Business Combination, as “</w:t>
      </w:r>
      <w:r>
        <w:rPr>
          <w:rFonts w:ascii="Times New Roman" w:cs="Times New Roman" w:eastAsia="Times New Roman" w:hAnsi="Times New Roman"/>
          <w:sz w:val="22"/>
          <w:szCs w:val="22"/>
          <w:b w:val="1"/>
          <w:bCs w:val="1"/>
          <w:color w:val="auto"/>
        </w:rPr>
        <w:t>New Orchestra Common Stock</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firstLine="389"/>
        <w:spacing w:after="0" w:line="233" w:lineRule="auto"/>
        <w:rPr>
          <w:sz w:val="20"/>
          <w:szCs w:val="20"/>
          <w:color w:val="auto"/>
        </w:rPr>
      </w:pPr>
      <w:r>
        <w:rPr>
          <w:rFonts w:ascii="Times New Roman" w:cs="Times New Roman" w:eastAsia="Times New Roman" w:hAnsi="Times New Roman"/>
          <w:sz w:val="22"/>
          <w:szCs w:val="22"/>
          <w:color w:val="auto"/>
        </w:rPr>
        <w:t>In addition, the Sponsor has agreed that 25% or 1,000,000 shares of its New Orchestra Common Stock received in the Domestication will be forfeited to New Orchestra on the first business day following the fifth anniversary of the Closing unless, as to 500,000 shares, the VWAP (as defined in the Merger Agreement) of the New Orchestra Common Stock is greater than or equal to $15.00 per share over any 20 Trading Days (as defined in the Merger Agreement) within any 30-Trading Day period, and as to the remaining 500,000 shares, the VWAP of the New Orchestra Common Stock is greater than or equal to $20.00 per share over any 20-Trading Days within any 30-Trading Day period. Further, the Sponsor and HSAC2’s other initial shareholders prior to its initial public offering have agreed to subject the 4,000,000 shares of New Orchestra Common Stock to be received in the Domestication in exchange for the 4,000,000 HSAC2 ordinary shares issued to HSAC2’s initial shareholders prior to its initial public offering and 450,000 shares of New Orchestra Common Stock to be received in the Domestication in exchange for 450,000 HSAC2 ordinary shares purchased in a private placement simultaneously with the HSAC2 initial public offering, to a lock-up for up to 12 months and, subject to the Closing, the Sponsor has agreed to forfeit 50% of its HSAC2 warrants, comprising 750,000 warrants, for no consideration.</w:t>
      </w:r>
    </w:p>
    <w:p>
      <w:pPr>
        <w:spacing w:after="0" w:line="212" w:lineRule="exact"/>
        <w:rPr>
          <w:sz w:val="20"/>
          <w:szCs w:val="20"/>
          <w:color w:val="auto"/>
        </w:rPr>
      </w:pPr>
    </w:p>
    <w:p>
      <w:pPr>
        <w:jc w:val="both"/>
        <w:ind w:firstLine="389"/>
        <w:spacing w:after="0" w:line="244" w:lineRule="auto"/>
        <w:rPr>
          <w:sz w:val="20"/>
          <w:szCs w:val="20"/>
          <w:color w:val="auto"/>
        </w:rPr>
      </w:pPr>
      <w:r>
        <w:rPr>
          <w:rFonts w:ascii="Times New Roman" w:cs="Times New Roman" w:eastAsia="Times New Roman" w:hAnsi="Times New Roman"/>
          <w:sz w:val="22"/>
          <w:szCs w:val="22"/>
          <w:color w:val="auto"/>
        </w:rPr>
        <w:t>The board of directors of HSAC2 has (i) approved and declared advisable the Merger Agreement, the Domestication, the Merger and the other transactions contemplated thereby and (ii) resolved to recommend approval of the Merger Agreement, the Domestication, the Merger and related transactions by the shareholders of HSAC2.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i w:val="1"/>
          <w:iCs w:val="1"/>
          <w:color w:val="auto"/>
        </w:rPr>
        <w:t>Merger Agreement</w:t>
      </w:r>
    </w:p>
    <w:p>
      <w:pPr>
        <w:spacing w:after="0" w:line="238" w:lineRule="exact"/>
        <w:rPr>
          <w:sz w:val="20"/>
          <w:szCs w:val="20"/>
          <w:color w:val="auto"/>
        </w:rPr>
      </w:pPr>
    </w:p>
    <w:p>
      <w:pPr>
        <w:jc w:val="both"/>
        <w:ind w:right="160"/>
        <w:spacing w:after="0" w:line="244" w:lineRule="auto"/>
        <w:rPr>
          <w:sz w:val="20"/>
          <w:szCs w:val="20"/>
          <w:color w:val="auto"/>
        </w:rPr>
      </w:pPr>
      <w:r>
        <w:rPr>
          <w:rFonts w:ascii="Times New Roman" w:cs="Times New Roman" w:eastAsia="Times New Roman" w:hAnsi="Times New Roman"/>
          <w:sz w:val="22"/>
          <w:szCs w:val="22"/>
          <w:color w:val="auto"/>
        </w:rPr>
        <w:t>Capitalized terms used in this Current Report on Form 8-K but not otherwise defined herein have the meanings given to them in the Merger Agreement, a copy of which is filed with this Current Report on Form 8-K as Exhibit 2.1 and is incorporated herein by reference.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Merger Consideration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Initial Consideration</w:t>
      </w:r>
    </w:p>
    <w:p>
      <w:pPr>
        <w:spacing w:after="0" w:line="237"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22"/>
          <w:szCs w:val="22"/>
          <w:color w:val="auto"/>
        </w:rPr>
        <w:t>The total consideration to be paid at Closing by HSAC2 to Orchestra security holders will be payable in shares of HSAC2 Common Stock at a fixed ratio (the “</w:t>
      </w:r>
      <w:r>
        <w:rPr>
          <w:rFonts w:ascii="Times New Roman" w:cs="Times New Roman" w:eastAsia="Times New Roman" w:hAnsi="Times New Roman"/>
          <w:sz w:val="22"/>
          <w:szCs w:val="22"/>
          <w:b w:val="1"/>
          <w:bCs w:val="1"/>
          <w:color w:val="auto"/>
        </w:rPr>
        <w:t>Exchange Ratio</w:t>
      </w:r>
      <w:r>
        <w:rPr>
          <w:rFonts w:ascii="Times New Roman" w:cs="Times New Roman" w:eastAsia="Times New Roman" w:hAnsi="Times New Roman"/>
          <w:sz w:val="22"/>
          <w:szCs w:val="22"/>
          <w:color w:val="auto"/>
        </w:rPr>
        <w:t>”) of 0.465 shares for each whole share of Orchestra common stock.</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Earnout Payments</w:t>
      </w:r>
    </w:p>
    <w:p>
      <w:pPr>
        <w:spacing w:after="0" w:line="237" w:lineRule="exact"/>
        <w:rPr>
          <w:sz w:val="20"/>
          <w:szCs w:val="20"/>
          <w:color w:val="auto"/>
        </w:rPr>
      </w:pPr>
    </w:p>
    <w:p>
      <w:pPr>
        <w:jc w:val="both"/>
        <w:ind w:firstLine="389"/>
        <w:spacing w:after="0" w:line="238" w:lineRule="auto"/>
        <w:rPr>
          <w:sz w:val="20"/>
          <w:szCs w:val="20"/>
          <w:color w:val="auto"/>
        </w:rPr>
      </w:pPr>
      <w:r>
        <w:rPr>
          <w:rFonts w:ascii="Times New Roman" w:cs="Times New Roman" w:eastAsia="Times New Roman" w:hAnsi="Times New Roman"/>
          <w:sz w:val="22"/>
          <w:szCs w:val="22"/>
          <w:color w:val="auto"/>
        </w:rPr>
        <w:t>Orchestra security holders will also have the option to receive a portion of additional contingent consideration of up to 8,000,000 shares of New Orchestra Common Stock in the aggregate (“</w:t>
      </w:r>
      <w:r>
        <w:rPr>
          <w:rFonts w:ascii="Times New Roman" w:cs="Times New Roman" w:eastAsia="Times New Roman" w:hAnsi="Times New Roman"/>
          <w:sz w:val="22"/>
          <w:szCs w:val="22"/>
          <w:b w:val="1"/>
          <w:bCs w:val="1"/>
          <w:color w:val="auto"/>
        </w:rPr>
        <w:t>Earnout Consideration</w:t>
      </w:r>
      <w:r>
        <w:rPr>
          <w:rFonts w:ascii="Times New Roman" w:cs="Times New Roman" w:eastAsia="Times New Roman" w:hAnsi="Times New Roman"/>
          <w:sz w:val="22"/>
          <w:szCs w:val="22"/>
          <w:color w:val="auto"/>
        </w:rPr>
        <w:t>”). Orchestra security holders who wish to receive their pro rata share of the Earnout Consideration must agree to extend the Lock-up Period described below from 6 months to 12 months, pursuant to an Earnout Election Agreement. Those who do so (“</w:t>
      </w:r>
      <w:r>
        <w:rPr>
          <w:rFonts w:ascii="Times New Roman" w:cs="Times New Roman" w:eastAsia="Times New Roman" w:hAnsi="Times New Roman"/>
          <w:sz w:val="22"/>
          <w:szCs w:val="22"/>
          <w:b w:val="1"/>
          <w:bCs w:val="1"/>
          <w:color w:val="auto"/>
        </w:rPr>
        <w:t>Earnout Participants</w:t>
      </w:r>
      <w:r>
        <w:rPr>
          <w:rFonts w:ascii="Times New Roman" w:cs="Times New Roman" w:eastAsia="Times New Roman" w:hAnsi="Times New Roman"/>
          <w:sz w:val="22"/>
          <w:szCs w:val="22"/>
          <w:color w:val="auto"/>
        </w:rPr>
        <w:t>”) will be entitled to receive the Earnout Consideration as follows:</w:t>
      </w:r>
    </w:p>
    <w:p>
      <w:pPr>
        <w:spacing w:after="0" w:line="209" w:lineRule="exact"/>
        <w:rPr>
          <w:sz w:val="20"/>
          <w:szCs w:val="20"/>
          <w:color w:val="auto"/>
        </w:rPr>
      </w:pPr>
    </w:p>
    <w:p>
      <w:pPr>
        <w:jc w:val="both"/>
        <w:ind w:left="720" w:hanging="334"/>
        <w:spacing w:after="0" w:line="26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Participants will earn 4,000,000 shares of the Earnout Consideration, in the aggregate (“</w:t>
      </w:r>
      <w:r>
        <w:rPr>
          <w:rFonts w:ascii="Times New Roman" w:cs="Times New Roman" w:eastAsia="Times New Roman" w:hAnsi="Times New Roman"/>
          <w:sz w:val="18"/>
          <w:szCs w:val="18"/>
          <w:b w:val="1"/>
          <w:bCs w:val="1"/>
          <w:color w:val="auto"/>
        </w:rPr>
        <w:t>Initial Earnout Shares</w:t>
      </w:r>
      <w:r>
        <w:rPr>
          <w:rFonts w:ascii="Times New Roman" w:cs="Times New Roman" w:eastAsia="Times New Roman" w:hAnsi="Times New Roman"/>
          <w:sz w:val="18"/>
          <w:szCs w:val="18"/>
          <w:color w:val="auto"/>
        </w:rPr>
        <w:t>”), in the event that, from the time beginning immediately after the Closing until the fifth anniversary of the Closing Date (the “</w:t>
      </w:r>
      <w:r>
        <w:rPr>
          <w:rFonts w:ascii="Times New Roman" w:cs="Times New Roman" w:eastAsia="Times New Roman" w:hAnsi="Times New Roman"/>
          <w:sz w:val="18"/>
          <w:szCs w:val="18"/>
          <w:b w:val="1"/>
          <w:bCs w:val="1"/>
          <w:color w:val="auto"/>
        </w:rPr>
        <w:t>Earnout Period</w:t>
      </w:r>
      <w:r>
        <w:rPr>
          <w:rFonts w:ascii="Times New Roman" w:cs="Times New Roman" w:eastAsia="Times New Roman" w:hAnsi="Times New Roman"/>
          <w:sz w:val="18"/>
          <w:szCs w:val="18"/>
          <w:color w:val="auto"/>
        </w:rPr>
        <w:t>”), over any 20 Trading Days within any 30-Trading Day period during the Earnout Period the VWAP of the New Orchestra Common Stock is greater than or equal to $15.00 per share (the “</w:t>
      </w:r>
      <w:r>
        <w:rPr>
          <w:rFonts w:ascii="Times New Roman" w:cs="Times New Roman" w:eastAsia="Times New Roman" w:hAnsi="Times New Roman"/>
          <w:sz w:val="18"/>
          <w:szCs w:val="18"/>
          <w:b w:val="1"/>
          <w:bCs w:val="1"/>
          <w:color w:val="auto"/>
        </w:rPr>
        <w:t>Initial Milestone Event</w:t>
      </w:r>
      <w:r>
        <w:rPr>
          <w:rFonts w:ascii="Times New Roman" w:cs="Times New Roman" w:eastAsia="Times New Roman" w:hAnsi="Times New Roman"/>
          <w:sz w:val="18"/>
          <w:szCs w:val="18"/>
          <w:color w:val="auto"/>
        </w:rPr>
        <w:t>”); and</w:t>
      </w:r>
    </w:p>
    <w:p>
      <w:pPr>
        <w:spacing w:after="0" w:line="203" w:lineRule="exact"/>
        <w:rPr>
          <w:rFonts w:ascii="Times New Roman" w:cs="Times New Roman" w:eastAsia="Times New Roman" w:hAnsi="Times New Roman"/>
          <w:sz w:val="18"/>
          <w:szCs w:val="18"/>
          <w:color w:val="auto"/>
        </w:rPr>
      </w:pPr>
    </w:p>
    <w:p>
      <w:pPr>
        <w:jc w:val="both"/>
        <w:ind w:left="720" w:hanging="334"/>
        <w:spacing w:after="0" w:line="26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Participants will earn an additional 4,000,000 shares of the Earnout Consideration, in the aggregate (“</w:t>
      </w:r>
      <w:r>
        <w:rPr>
          <w:rFonts w:ascii="Times New Roman" w:cs="Times New Roman" w:eastAsia="Times New Roman" w:hAnsi="Times New Roman"/>
          <w:sz w:val="18"/>
          <w:szCs w:val="18"/>
          <w:b w:val="1"/>
          <w:bCs w:val="1"/>
          <w:color w:val="auto"/>
        </w:rPr>
        <w:t>Final Earnout Shares</w:t>
      </w:r>
      <w:r>
        <w:rPr>
          <w:rFonts w:ascii="Times New Roman" w:cs="Times New Roman" w:eastAsia="Times New Roman" w:hAnsi="Times New Roman"/>
          <w:sz w:val="18"/>
          <w:szCs w:val="18"/>
          <w:color w:val="auto"/>
        </w:rPr>
        <w:t>”), in the event that, during the Earnout Period, over any 20-Trading Days within any 30-Trading Day period during the Earnout Period the VWAP of the New Orchestra Common Stock is greater than or equal to $20.00 per share (the “</w:t>
      </w:r>
      <w:r>
        <w:rPr>
          <w:rFonts w:ascii="Times New Roman" w:cs="Times New Roman" w:eastAsia="Times New Roman" w:hAnsi="Times New Roman"/>
          <w:sz w:val="18"/>
          <w:szCs w:val="18"/>
          <w:b w:val="1"/>
          <w:bCs w:val="1"/>
          <w:color w:val="auto"/>
        </w:rPr>
        <w:t>Final Milestone Event</w:t>
      </w:r>
      <w:r>
        <w:rPr>
          <w:rFonts w:ascii="Times New Roman" w:cs="Times New Roman" w:eastAsia="Times New Roman" w:hAnsi="Times New Roman"/>
          <w:sz w:val="18"/>
          <w:szCs w:val="18"/>
          <w:color w:val="auto"/>
        </w:rPr>
        <w:t>”).</w:t>
      </w:r>
    </w:p>
    <w:p>
      <w:pPr>
        <w:spacing w:after="0" w:line="201" w:lineRule="exact"/>
        <w:rPr>
          <w:rFonts w:ascii="Times New Roman" w:cs="Times New Roman" w:eastAsia="Times New Roman" w:hAnsi="Times New Roman"/>
          <w:sz w:val="18"/>
          <w:szCs w:val="18"/>
          <w:color w:val="auto"/>
        </w:rPr>
      </w:pPr>
    </w:p>
    <w:p>
      <w:pPr>
        <w:jc w:val="both"/>
        <w:ind w:left="720" w:hanging="334"/>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first Change in Control (as defined in the Merger Agreement) to occur during the Earnout Period, if the corresponding valuation of New Orchestra is equal to or greater than $15.00 per share, the Initial Milestone Event is deemed to have occurred and if equal to or greater than $20.00 per share, the Final Milestone Event is deemed to have occurred, in each case immediately prior to such Change in Control.</w:t>
      </w:r>
    </w:p>
    <w:p>
      <w:pPr>
        <w:spacing w:after="0" w:line="194" w:lineRule="exact"/>
        <w:rPr>
          <w:sz w:val="20"/>
          <w:szCs w:val="20"/>
          <w:color w:val="auto"/>
        </w:rPr>
      </w:pPr>
    </w:p>
    <w:p>
      <w:pPr>
        <w:jc w:val="center"/>
        <w:ind w:right="8320"/>
        <w:spacing w:after="0"/>
        <w:rPr>
          <w:sz w:val="20"/>
          <w:szCs w:val="20"/>
          <w:color w:val="auto"/>
        </w:rPr>
      </w:pPr>
      <w:r>
        <w:rPr>
          <w:rFonts w:ascii="Times New Roman" w:cs="Times New Roman" w:eastAsia="Times New Roman" w:hAnsi="Times New Roman"/>
          <w:sz w:val="21"/>
          <w:szCs w:val="21"/>
          <w:u w:val="single" w:color="auto"/>
          <w:color w:val="auto"/>
        </w:rPr>
        <w:t>Treatment of Orchestra Securities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Cancellation of Securities.</w:t>
      </w:r>
    </w:p>
    <w:p>
      <w:pPr>
        <w:spacing w:after="0" w:line="237" w:lineRule="exact"/>
        <w:rPr>
          <w:sz w:val="20"/>
          <w:szCs w:val="20"/>
          <w:color w:val="auto"/>
        </w:rPr>
      </w:pPr>
    </w:p>
    <w:p>
      <w:pPr>
        <w:jc w:val="both"/>
        <w:ind w:right="20" w:firstLine="389"/>
        <w:spacing w:after="0" w:line="282" w:lineRule="auto"/>
        <w:rPr>
          <w:sz w:val="20"/>
          <w:szCs w:val="20"/>
          <w:color w:val="auto"/>
        </w:rPr>
      </w:pPr>
      <w:r>
        <w:rPr>
          <w:rFonts w:ascii="Times New Roman" w:cs="Times New Roman" w:eastAsia="Times New Roman" w:hAnsi="Times New Roman"/>
          <w:sz w:val="21"/>
          <w:szCs w:val="21"/>
          <w:color w:val="auto"/>
        </w:rPr>
        <w:t>Each share of Orchestra capital stock, if any, that is owned by HSAC2, Merger Sub, or Orchestra, or any of their subsidiaries (as treasury stock or otherwise) will automatically be cancelled and extinguished without any conversion or consideration.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Common Stock.</w:t>
      </w:r>
    </w:p>
    <w:p>
      <w:pPr>
        <w:spacing w:after="0" w:line="233" w:lineRule="exact"/>
        <w:rPr>
          <w:sz w:val="20"/>
          <w:szCs w:val="20"/>
          <w:color w:val="auto"/>
        </w:rPr>
      </w:pPr>
    </w:p>
    <w:p>
      <w:pPr>
        <w:jc w:val="both"/>
        <w:ind w:firstLine="389"/>
        <w:spacing w:after="0" w:line="238" w:lineRule="auto"/>
        <w:rPr>
          <w:sz w:val="20"/>
          <w:szCs w:val="20"/>
          <w:color w:val="auto"/>
        </w:rPr>
      </w:pPr>
      <w:r>
        <w:rPr>
          <w:rFonts w:ascii="Times New Roman" w:cs="Times New Roman" w:eastAsia="Times New Roman" w:hAnsi="Times New Roman"/>
          <w:sz w:val="22"/>
          <w:szCs w:val="22"/>
          <w:color w:val="auto"/>
        </w:rPr>
        <w:t>Immediately prior to the time that the merger becomes effective (“</w:t>
      </w:r>
      <w:r>
        <w:rPr>
          <w:rFonts w:ascii="Times New Roman" w:cs="Times New Roman" w:eastAsia="Times New Roman" w:hAnsi="Times New Roman"/>
          <w:sz w:val="22"/>
          <w:szCs w:val="22"/>
          <w:b w:val="1"/>
          <w:bCs w:val="1"/>
          <w:color w:val="auto"/>
        </w:rPr>
        <w:t>Effective Time</w:t>
      </w:r>
      <w:r>
        <w:rPr>
          <w:rFonts w:ascii="Times New Roman" w:cs="Times New Roman" w:eastAsia="Times New Roman" w:hAnsi="Times New Roman"/>
          <w:sz w:val="22"/>
          <w:szCs w:val="22"/>
          <w:color w:val="auto"/>
        </w:rPr>
        <w:t>”), each issued and outstanding share of Orchestra common stock, par value $0.0001 per share (“</w:t>
      </w:r>
      <w:r>
        <w:rPr>
          <w:rFonts w:ascii="Times New Roman" w:cs="Times New Roman" w:eastAsia="Times New Roman" w:hAnsi="Times New Roman"/>
          <w:sz w:val="22"/>
          <w:szCs w:val="22"/>
          <w:b w:val="1"/>
          <w:bCs w:val="1"/>
          <w:color w:val="auto"/>
        </w:rPr>
        <w:t>Orchestra Common Stock</w:t>
      </w:r>
      <w:r>
        <w:rPr>
          <w:rFonts w:ascii="Times New Roman" w:cs="Times New Roman" w:eastAsia="Times New Roman" w:hAnsi="Times New Roman"/>
          <w:sz w:val="22"/>
          <w:szCs w:val="22"/>
          <w:color w:val="auto"/>
        </w:rPr>
        <w:t>”) (other than any such shares of Orchestra Common Stock cancelled as described above and any dissenting shares) will be converted into the right to receive (1) a number of shares of HSAC2 Common Stock at the Exchange Ratio, and (2) shares of Earnout Consideration as, and subject to the contingencies, described above, including entry into an Earnout Election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ind w:left="340"/>
        <w:spacing w:after="0"/>
        <w:rPr>
          <w:sz w:val="20"/>
          <w:szCs w:val="20"/>
          <w:color w:val="auto"/>
        </w:rPr>
      </w:pPr>
      <w:r>
        <w:rPr>
          <w:rFonts w:ascii="Times New Roman" w:cs="Times New Roman" w:eastAsia="Times New Roman" w:hAnsi="Times New Roman"/>
          <w:sz w:val="22"/>
          <w:szCs w:val="22"/>
          <w:i w:val="1"/>
          <w:iCs w:val="1"/>
          <w:color w:val="auto"/>
        </w:rPr>
        <w:t>Merger Sub Securities.</w:t>
      </w:r>
    </w:p>
    <w:p>
      <w:pPr>
        <w:spacing w:after="0" w:line="236" w:lineRule="exact"/>
        <w:rPr>
          <w:sz w:val="20"/>
          <w:szCs w:val="20"/>
          <w:color w:val="auto"/>
        </w:rPr>
      </w:pPr>
    </w:p>
    <w:p>
      <w:pPr>
        <w:jc w:val="both"/>
        <w:ind w:firstLine="389"/>
        <w:spacing w:after="0" w:line="244" w:lineRule="auto"/>
        <w:rPr>
          <w:sz w:val="20"/>
          <w:szCs w:val="20"/>
          <w:color w:val="auto"/>
        </w:rPr>
      </w:pPr>
      <w:r>
        <w:rPr>
          <w:rFonts w:ascii="Times New Roman" w:cs="Times New Roman" w:eastAsia="Times New Roman" w:hAnsi="Times New Roman"/>
          <w:sz w:val="22"/>
          <w:szCs w:val="22"/>
          <w:color w:val="auto"/>
        </w:rPr>
        <w:t>Each share of common stock, par value $0.01 per share, of Merger Sub issued and outstanding immediately prior to the Effective Time will be converted into and become one newly issued share of Orchestra as the surviving corporation in the Merger.</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Stock Options.</w:t>
      </w:r>
    </w:p>
    <w:p>
      <w:pPr>
        <w:spacing w:after="0" w:line="237" w:lineRule="exact"/>
        <w:rPr>
          <w:sz w:val="20"/>
          <w:szCs w:val="20"/>
          <w:color w:val="auto"/>
        </w:rPr>
      </w:pPr>
    </w:p>
    <w:p>
      <w:pPr>
        <w:jc w:val="both"/>
        <w:ind w:firstLine="389"/>
        <w:spacing w:after="0" w:line="238" w:lineRule="auto"/>
        <w:rPr>
          <w:sz w:val="20"/>
          <w:szCs w:val="20"/>
          <w:color w:val="auto"/>
        </w:rPr>
      </w:pPr>
      <w:r>
        <w:rPr>
          <w:rFonts w:ascii="Times New Roman" w:cs="Times New Roman" w:eastAsia="Times New Roman" w:hAnsi="Times New Roman"/>
          <w:sz w:val="22"/>
          <w:szCs w:val="22"/>
          <w:color w:val="auto"/>
        </w:rPr>
        <w:t>At the Effective Time, each outstanding option to purchase shares of Orchestra Common Stock will be converted into an option to purchase, subject to substantially the same terms and conditions as were applicable under such options prior to the Effective Time, shares of New Orchestra Common Stock equal to the number of shares subject to such option prior to the Effective Time multiplied by the Exchange Ratio, at an exercise price per share of New Orchestra Common Stock equal to the exercise price per share of Orchestra Common Stock subject to such option divided by the Exchange Ratio.</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Warrants.</w:t>
      </w:r>
    </w:p>
    <w:p>
      <w:pPr>
        <w:spacing w:after="0" w:line="237" w:lineRule="exact"/>
        <w:rPr>
          <w:sz w:val="20"/>
          <w:szCs w:val="20"/>
          <w:color w:val="auto"/>
        </w:rPr>
      </w:pPr>
    </w:p>
    <w:p>
      <w:pPr>
        <w:jc w:val="both"/>
        <w:ind w:firstLine="389"/>
        <w:spacing w:after="0" w:line="244" w:lineRule="auto"/>
        <w:rPr>
          <w:sz w:val="20"/>
          <w:szCs w:val="20"/>
          <w:color w:val="auto"/>
        </w:rPr>
      </w:pPr>
      <w:r>
        <w:rPr>
          <w:rFonts w:ascii="Times New Roman" w:cs="Times New Roman" w:eastAsia="Times New Roman" w:hAnsi="Times New Roman"/>
          <w:sz w:val="22"/>
          <w:szCs w:val="22"/>
          <w:color w:val="auto"/>
        </w:rPr>
        <w:t>Contingent on and effective as of immediately prior to the Effective Time, each outstanding warrant to purchase shares of Orchestra capital stock will be treated in accordance with the terms of the relevant agreements governing such warrants and converted into New Orchestra warrants.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Post-Closing Board of Directors</w:t>
      </w:r>
    </w:p>
    <w:p>
      <w:pPr>
        <w:spacing w:after="0" w:line="233"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22"/>
          <w:szCs w:val="22"/>
          <w:color w:val="auto"/>
        </w:rPr>
        <w:t>Immediately following the Closing, New Orchestra’s board of directors will consist of the existing Orchestra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Registration Statement and Stockholder Approval</w:t>
      </w:r>
    </w:p>
    <w:p>
      <w:pPr>
        <w:spacing w:after="0" w:line="229" w:lineRule="exact"/>
        <w:rPr>
          <w:sz w:val="20"/>
          <w:szCs w:val="20"/>
          <w:color w:val="auto"/>
        </w:rPr>
      </w:pPr>
    </w:p>
    <w:p>
      <w:pPr>
        <w:jc w:val="both"/>
        <w:ind w:firstLine="389"/>
        <w:spacing w:after="0" w:line="235" w:lineRule="auto"/>
        <w:rPr>
          <w:sz w:val="20"/>
          <w:szCs w:val="20"/>
          <w:color w:val="auto"/>
        </w:rPr>
      </w:pPr>
      <w:r>
        <w:rPr>
          <w:rFonts w:ascii="Times New Roman" w:cs="Times New Roman" w:eastAsia="Times New Roman" w:hAnsi="Times New Roman"/>
          <w:sz w:val="22"/>
          <w:szCs w:val="22"/>
          <w:color w:val="auto"/>
        </w:rPr>
        <w:t>HSAC2 and Orchestra will prepare, and HSAC2 will file with the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a Registration Statement on Form S-4 for the purpose of soliciting proxies from holders of HSAC2 ordinary shares sufficient to obtain shareholder approval for the Domestication and the Merger at a general meeting of HSAC2 shareholders, which will be called and held for such purpose (the “</w:t>
      </w:r>
      <w:r>
        <w:rPr>
          <w:rFonts w:ascii="Times New Roman" w:cs="Times New Roman" w:eastAsia="Times New Roman" w:hAnsi="Times New Roman"/>
          <w:sz w:val="22"/>
          <w:szCs w:val="22"/>
          <w:b w:val="1"/>
          <w:bCs w:val="1"/>
          <w:color w:val="auto"/>
        </w:rPr>
        <w:t>Shareholder Meeting</w:t>
      </w:r>
      <w:r>
        <w:rPr>
          <w:rFonts w:ascii="Times New Roman" w:cs="Times New Roman" w:eastAsia="Times New Roman" w:hAnsi="Times New Roman"/>
          <w:sz w:val="22"/>
          <w:szCs w:val="22"/>
          <w:color w:val="auto"/>
        </w:rPr>
        <w:t>”). The Domestication requires approval by a special resolution under Cayman Islands law, being the affirmative vote of the holders of at least two-thirds of the HSAC2 ordinary shares who, being present in person (including virtually) or represented by proxy and entitled to vote at the Shareholder Meeting, vote at the Shareholder Meeting. The Merger requires approval by an ordinary resolution under Cayman Islands law, being the affirmative vote of the holders of a majority of the HSAC2 ordinary shares who, being present in person (including virtually) or represented by proxy and entitled to vote at the Shareholder Meeting, vote at the Shareholder Meeting.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Representations and Warranties</w:t>
      </w:r>
    </w:p>
    <w:p>
      <w:pPr>
        <w:spacing w:after="0" w:line="233" w:lineRule="exact"/>
        <w:rPr>
          <w:sz w:val="20"/>
          <w:szCs w:val="20"/>
          <w:color w:val="auto"/>
        </w:rPr>
      </w:pPr>
    </w:p>
    <w:p>
      <w:pPr>
        <w:jc w:val="both"/>
        <w:ind w:firstLine="389"/>
        <w:spacing w:after="0" w:line="236" w:lineRule="auto"/>
        <w:rPr>
          <w:sz w:val="20"/>
          <w:szCs w:val="20"/>
          <w:color w:val="auto"/>
        </w:rPr>
      </w:pPr>
      <w:r>
        <w:rPr>
          <w:rFonts w:ascii="Times New Roman" w:cs="Times New Roman" w:eastAsia="Times New Roman" w:hAnsi="Times New Roman"/>
          <w:sz w:val="22"/>
          <w:szCs w:val="22"/>
          <w:color w:val="auto"/>
        </w:rPr>
        <w:t>The Merger Agreement contains customary representations, warranties and covenants with respect to, among other things, operation of their respective businesses prior to consummation of the Merger and efforts to satisfy conditions to consummation of the Merger. The Merger Agreement also contains additional covenants of the parties, including, among others, with respect to access to information, cooperation in the preparation of the Form S-4 and Proxy Statement (as each such terms are defined in the Merger Agreement) required to be filed in connection with the Merger and to obtain all requisite approvals of each party’s respective stockholders or shareholders, as the case may be.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HSAC2 Equity Incentive Plan</w:t>
      </w:r>
    </w:p>
    <w:p>
      <w:pPr>
        <w:spacing w:after="0" w:line="229" w:lineRule="exact"/>
        <w:rPr>
          <w:sz w:val="20"/>
          <w:szCs w:val="20"/>
          <w:color w:val="auto"/>
        </w:rPr>
      </w:pPr>
    </w:p>
    <w:p>
      <w:pPr>
        <w:jc w:val="both"/>
        <w:ind w:firstLine="389"/>
        <w:spacing w:after="0" w:line="238" w:lineRule="auto"/>
        <w:rPr>
          <w:sz w:val="20"/>
          <w:szCs w:val="20"/>
          <w:color w:val="auto"/>
        </w:rPr>
      </w:pPr>
      <w:r>
        <w:rPr>
          <w:rFonts w:ascii="Times New Roman" w:cs="Times New Roman" w:eastAsia="Times New Roman" w:hAnsi="Times New Roman"/>
          <w:sz w:val="22"/>
          <w:szCs w:val="22"/>
          <w:color w:val="auto"/>
        </w:rPr>
        <w:t>HSAC2 has agreed to adopt an equity incentive plan (the “</w:t>
      </w:r>
      <w:r>
        <w:rPr>
          <w:rFonts w:ascii="Times New Roman" w:cs="Times New Roman" w:eastAsia="Times New Roman" w:hAnsi="Times New Roman"/>
          <w:sz w:val="22"/>
          <w:szCs w:val="22"/>
          <w:b w:val="1"/>
          <w:bCs w:val="1"/>
          <w:color w:val="auto"/>
        </w:rPr>
        <w:t>Parent Equity Incentive Plan</w:t>
      </w:r>
      <w:r>
        <w:rPr>
          <w:rFonts w:ascii="Times New Roman" w:cs="Times New Roman" w:eastAsia="Times New Roman" w:hAnsi="Times New Roman"/>
          <w:sz w:val="22"/>
          <w:szCs w:val="22"/>
          <w:color w:val="auto"/>
        </w:rPr>
        <w:t>”) in a form mutually acceptable to HSAC2 and Orchestra. The Parent Equity Incentive Plan will have shares available for issuance equal to 17.5% of the New Orchestra Common Stock to be issued and outstanding immediately after the Closing and will include an “evergreen” provision that will provide for an automatic increase on the first day of each fiscal year in the number of shares available for issuance under the Parent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u w:val="single" w:color="auto"/>
          <w:color w:val="auto"/>
        </w:rPr>
        <w:t>Non-Solicitation Restrictions</w:t>
      </w:r>
    </w:p>
    <w:p>
      <w:pPr>
        <w:spacing w:after="0" w:line="234" w:lineRule="exact"/>
        <w:rPr>
          <w:sz w:val="20"/>
          <w:szCs w:val="20"/>
          <w:color w:val="auto"/>
        </w:rPr>
      </w:pPr>
    </w:p>
    <w:p>
      <w:pPr>
        <w:jc w:val="both"/>
        <w:ind w:firstLine="389"/>
        <w:spacing w:after="0" w:line="238" w:lineRule="auto"/>
        <w:rPr>
          <w:sz w:val="20"/>
          <w:szCs w:val="20"/>
          <w:color w:val="auto"/>
        </w:rPr>
      </w:pPr>
      <w:r>
        <w:rPr>
          <w:rFonts w:ascii="Times New Roman" w:cs="Times New Roman" w:eastAsia="Times New Roman" w:hAnsi="Times New Roman"/>
          <w:sz w:val="22"/>
          <w:szCs w:val="22"/>
          <w:color w:val="auto"/>
        </w:rPr>
        <w:t>Each of HSAC2 and Orchestra has agreed that it will not solicit or initiate any negotiations with any party relating to an Alternative Transaction (as such term is defined in the Merger Agreement) or enter into any agreement relating to such a proposal. Each of HSAC2 and Orchestra has also agreed to be responsible for any acts or omissions of any of its respective representatives that, if they were the acts or omissions of HSAC2 and Orchestra, as applicable, would be deemed a breach of the party’s obligations with respect to these non-solicitation restrictions.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Conditions to Closing</w:t>
      </w:r>
    </w:p>
    <w:p>
      <w:pPr>
        <w:spacing w:after="0" w:line="233" w:lineRule="exact"/>
        <w:rPr>
          <w:sz w:val="20"/>
          <w:szCs w:val="20"/>
          <w:color w:val="auto"/>
        </w:rPr>
      </w:pPr>
    </w:p>
    <w:p>
      <w:pPr>
        <w:jc w:val="both"/>
        <w:ind w:firstLine="389"/>
        <w:spacing w:after="0" w:line="235" w:lineRule="auto"/>
        <w:rPr>
          <w:sz w:val="20"/>
          <w:szCs w:val="20"/>
          <w:color w:val="auto"/>
        </w:rPr>
      </w:pPr>
      <w:r>
        <w:rPr>
          <w:rFonts w:ascii="Times New Roman" w:cs="Times New Roman" w:eastAsia="Times New Roman" w:hAnsi="Times New Roman"/>
          <w:sz w:val="22"/>
          <w:szCs w:val="22"/>
          <w:color w:val="auto"/>
        </w:rPr>
        <w:t>The consummation of the Merger is conditioned upon, among other things, (i) the absence of any applicable law or order restraining or prohibiting the consummation of the Merger and related transactions, (ii) receipt of any consent, approval or authorization required by any Authority (as defined in the Merger Agreement), (iii) HSAC2 having at least $5,000,001 of net tangible assets upon consummation of the Merger, (iv) approval by Orchestra’s stockholders of the Merger and related transactions, (v) approval by HSAC2’s shareholders of the Merger and related transactions, (vi) the conditional approval for listing by Nasdaq of the shares to be issued in connection with the transactions contemplated by the Merger Agreement and satisfaction of initial and continued listing requirements, and (vii) the Form S-4 becoming effective in accordance with the provisions of the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389"/>
        <w:spacing w:after="0" w:line="253" w:lineRule="auto"/>
        <w:rPr>
          <w:sz w:val="20"/>
          <w:szCs w:val="20"/>
          <w:color w:val="auto"/>
        </w:rPr>
      </w:pPr>
      <w:r>
        <w:rPr>
          <w:rFonts w:ascii="Times New Roman" w:cs="Times New Roman" w:eastAsia="Times New Roman" w:hAnsi="Times New Roman"/>
          <w:sz w:val="21"/>
          <w:szCs w:val="21"/>
          <w:color w:val="auto"/>
        </w:rPr>
        <w:t>Solely with respect to HSAC2 and Merger Sub, the consummation of the Merger is conditioned upon, among other things, (i) Orchestra’s having duly performed or complied with, in all material respects, all of its obligations under the Merger Agreement,</w:t>
      </w:r>
    </w:p>
    <w:p>
      <w:pPr>
        <w:spacing w:after="0" w:line="1" w:lineRule="exact"/>
        <w:rPr>
          <w:sz w:val="20"/>
          <w:szCs w:val="20"/>
          <w:color w:val="auto"/>
        </w:rPr>
      </w:pPr>
    </w:p>
    <w:p>
      <w:pPr>
        <w:jc w:val="both"/>
        <w:ind w:firstLine="8"/>
        <w:spacing w:after="0" w:line="241" w:lineRule="auto"/>
        <w:tabs>
          <w:tab w:leader="none" w:pos="35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of Orchestra, other than certain fundamental representations as defined in the Merger Agreement, being true and correct in all respects (disregarding all qualifications in the Merger Agreement relating to materiality or Material Adverse Effect (as defined in the Merger Agreement)), (iii) certain fundamental representations, as defined in the Merger Agreement, being true and correct in all respects other than certain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inaccuracies, (iv) no event having occurred that has or would reasonably be expected to have a materially adverse effect on the financial condition, assets, liabilities or results of operations of Orchestra or any of its subsidiaries, (v) Orchestra’s and its securityholders’ execution of and delivery to HSAC2 of each Additional Agreement (as defined in the Merger Agreement) to which they each are a party, (vi) Orchestra’s delivery of certain certificates to HSAC2, (vii) Orchestra’s delivery of its interim financial statements to HSAC2 as promptly as possible following the end of each quarterly period, and in any event no later than 45 days following the end of each quarterly period,</w:t>
      </w:r>
    </w:p>
    <w:p>
      <w:pPr>
        <w:spacing w:after="0" w:line="4" w:lineRule="exact"/>
        <w:rPr>
          <w:rFonts w:ascii="Times New Roman" w:cs="Times New Roman" w:eastAsia="Times New Roman" w:hAnsi="Times New Roman"/>
          <w:sz w:val="21"/>
          <w:szCs w:val="21"/>
          <w:color w:val="auto"/>
        </w:rPr>
      </w:pPr>
    </w:p>
    <w:p>
      <w:pPr>
        <w:jc w:val="both"/>
        <w:ind w:firstLine="8"/>
        <w:spacing w:after="0" w:line="234" w:lineRule="auto"/>
        <w:tabs>
          <w:tab w:leader="none" w:pos="51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Orchestra warrant having been amended in accordance with its terms to permit the conversion thereof into a New Orchestra warrant and any Orchestra warrant not so amended being canceled by Orchestra, (ix) the conversion of all shares of Orchestra preferred stock into Orchestra Common Stock, and (x) the completion of the transactions contemplated by Medtronic in its Forward Purchase Agreement.</w:t>
      </w:r>
    </w:p>
    <w:p>
      <w:pPr>
        <w:spacing w:after="0" w:line="204" w:lineRule="exact"/>
        <w:rPr>
          <w:sz w:val="20"/>
          <w:szCs w:val="20"/>
          <w:color w:val="auto"/>
        </w:rPr>
      </w:pPr>
    </w:p>
    <w:p>
      <w:pPr>
        <w:jc w:val="both"/>
        <w:ind w:firstLine="389"/>
        <w:spacing w:after="0" w:line="244" w:lineRule="auto"/>
        <w:rPr>
          <w:sz w:val="20"/>
          <w:szCs w:val="20"/>
          <w:color w:val="auto"/>
        </w:rPr>
      </w:pPr>
      <w:r>
        <w:rPr>
          <w:rFonts w:ascii="Times New Roman" w:cs="Times New Roman" w:eastAsia="Times New Roman" w:hAnsi="Times New Roman"/>
          <w:sz w:val="21"/>
          <w:szCs w:val="21"/>
          <w:color w:val="auto"/>
        </w:rPr>
        <w:t xml:space="preserve">Solely with respect to Orchestra, the consummation of the Merger is conditioned upon, among other things, (i) HSAC2 and Merger Sub having duly performed or complied with all of their respective obligations under the Merger Agreement in all material respects, (ii) the representations and warranties of HSAC2 and Merger Sub, other than certain fundamental representations as defined in the Merger Agreement, being true and correct in all respects (disregarding all qualifications relating to materiality or Material Adverse Effect (as defined in the Merger Agreement)) other than as would not in individually or in the aggregate reasonably be expected to have a Material Adverse Effect on HSAC2 or Merger Sub, (iii) certain fundamental representations, as defined in the Merger Agreement, being true and correct in all respects, other than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inaccuracies,</w:t>
      </w:r>
    </w:p>
    <w:p>
      <w:pPr>
        <w:spacing w:after="0" w:line="6" w:lineRule="exact"/>
        <w:rPr>
          <w:sz w:val="20"/>
          <w:szCs w:val="20"/>
          <w:color w:val="auto"/>
        </w:rPr>
      </w:pPr>
    </w:p>
    <w:p>
      <w:pPr>
        <w:jc w:val="both"/>
        <w:ind w:firstLine="8"/>
        <w:spacing w:after="0" w:line="232" w:lineRule="auto"/>
        <w:tabs>
          <w:tab w:leader="none" w:pos="39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having occurred that has or would reasonably be expected to have a materially adverse effect on the financial condition, assets, liabilities or results of operations HSAC2, (v) the occurrence of the Domestication, (vi) the delivery by HSAC2 of certain certificates to Orchestra, (vii) the size and composition of the post-Closing board of directors of New Orchestra having been appointed as set forth in the Merger Agreement, (viii) HSAC2, Sponsor and other shareholders of HSAC2 shall have executed and delivered to Orchestra each Additional Agreement to which they each are a party, (ix) the Parent Closing Cash being at least equal to $60 million, inclusive of the Sponsor Commitment, and (x) completion of the transactions contemplated by the Sponsor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u w:val="single" w:color="auto"/>
          <w:color w:val="auto"/>
        </w:rPr>
        <w:t>Termination</w:t>
      </w:r>
    </w:p>
    <w:p>
      <w:pPr>
        <w:spacing w:after="0" w:line="234" w:lineRule="exact"/>
        <w:rPr>
          <w:sz w:val="20"/>
          <w:szCs w:val="20"/>
          <w:color w:val="auto"/>
        </w:rPr>
      </w:pPr>
    </w:p>
    <w:p>
      <w:pPr>
        <w:jc w:val="both"/>
        <w:ind w:firstLine="389"/>
        <w:spacing w:after="0" w:line="233" w:lineRule="auto"/>
        <w:rPr>
          <w:sz w:val="20"/>
          <w:szCs w:val="20"/>
          <w:color w:val="auto"/>
        </w:rPr>
      </w:pPr>
      <w:r>
        <w:rPr>
          <w:rFonts w:ascii="Times New Roman" w:cs="Times New Roman" w:eastAsia="Times New Roman" w:hAnsi="Times New Roman"/>
          <w:sz w:val="22"/>
          <w:szCs w:val="22"/>
          <w:color w:val="auto"/>
        </w:rPr>
        <w:t>The Merger Agreement may be terminated at any time prior to the Effective Time as follows: (i) by either HSAC2 or Orchestra if: (A) the Merger and related transactions are not consummated on or before February 6, 2023 (the “</w:t>
      </w:r>
      <w:r>
        <w:rPr>
          <w:rFonts w:ascii="Times New Roman" w:cs="Times New Roman" w:eastAsia="Times New Roman" w:hAnsi="Times New Roman"/>
          <w:sz w:val="22"/>
          <w:szCs w:val="22"/>
          <w:b w:val="1"/>
          <w:bCs w:val="1"/>
          <w:color w:val="auto"/>
        </w:rPr>
        <w:t>Outside 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and (B) the material breach or violation of any representation, warranty, covenant or obligation under the Merger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by the party seeking to terminate the Merger Agreement was not the cause of, or resulted in, the failure of the Closing to occur on or before the Outside Closing Date, without liability to the other party. Such right may be exercised by HSAC2 or Orchestra, as the case may be, giving written notice to the other at any time after the Outside Closing Date; (ii) by either HSAC2 or Orchestra if any Authority (as defined in the Merger Agreement) has issued any final decree, order, judgment, writ, award, injunction, stipulation, determination, award, rule or consent or enacted any law, having the effect of permanently restraining, enjoining or otherwise prohibiting the Merger, provided that the party seeking to terminate cannot have breached its obligations under the Merger Agreement and such breach was a substantial cause of, or substantially resulted in, such action by the Authority; (iii) by mutual written consent of HSAC2 and Orchestra duly authorized by each of their respective boards of directors; (iv) by Orchestra if the Extension Proposal (as defined below) is not approved, and (v) by either HSAC2 or Orchestra, if the other party has breached any of its covenants or representations and warranties such that closing conditions would not be satisfied by the earlier of (A) the Outside Closing Date and (B) 30 days following receipt by the breaching party of a written notice of the breach.</w:t>
      </w:r>
    </w:p>
    <w:p>
      <w:pPr>
        <w:spacing w:after="0" w:line="204" w:lineRule="exact"/>
        <w:rPr>
          <w:sz w:val="20"/>
          <w:szCs w:val="20"/>
          <w:color w:val="auto"/>
        </w:rPr>
      </w:pPr>
    </w:p>
    <w:p>
      <w:pPr>
        <w:jc w:val="both"/>
        <w:ind w:firstLine="389"/>
        <w:spacing w:after="0" w:line="246" w:lineRule="auto"/>
        <w:rPr>
          <w:sz w:val="20"/>
          <w:szCs w:val="20"/>
          <w:color w:val="auto"/>
        </w:rPr>
      </w:pPr>
      <w:r>
        <w:rPr>
          <w:rFonts w:ascii="Times New Roman" w:cs="Times New Roman" w:eastAsia="Times New Roman" w:hAnsi="Times New Roman"/>
          <w:sz w:val="21"/>
          <w:szCs w:val="21"/>
          <w:color w:val="auto"/>
        </w:rPr>
        <w:t>The Merger Agreement and the other agreements described below have been included to provide investors with information regarding their respective terms. They are not intended to provide any other factual information about HSAC2, Orchestra or the other parties thereto. In particular, the assertions embodied in the representations and warranties in the Merger Agreement were made as of a specified date, are modified or qualified by information in one or more disclosure letters prepared in connection with the execution and delivery of the Merger Agreement, may be subject to a contractual standard of materiality different from what might be viewed as material to investors, or may have been used for the purpose of allocating risk between the parties. Accordingly, the representations and warranties in the Merger Agreement are not necessarily characterizations of the actual state of facts about HSAC2, Orchestra or the other parties thereto at the time they were made or otherwise and should only be read in conjunction with the other information that HSAC2 makes publicly available in reports, statements and other documents filed with the SEC. HSAC2 and Orchestra investors and securityholders are not third-party beneficiaries under the Merger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Certain Related Agreements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HSAC2 Shareholder Support Agreement and Forfeiture.</w:t>
      </w:r>
    </w:p>
    <w:p>
      <w:pPr>
        <w:spacing w:after="0" w:line="233" w:lineRule="exact"/>
        <w:rPr>
          <w:sz w:val="20"/>
          <w:szCs w:val="20"/>
          <w:color w:val="auto"/>
        </w:rPr>
      </w:pPr>
    </w:p>
    <w:p>
      <w:pPr>
        <w:jc w:val="both"/>
        <w:ind w:firstLine="389"/>
        <w:spacing w:after="0" w:line="233" w:lineRule="auto"/>
        <w:rPr>
          <w:sz w:val="20"/>
          <w:szCs w:val="20"/>
          <w:color w:val="auto"/>
        </w:rPr>
      </w:pPr>
      <w:r>
        <w:rPr>
          <w:rFonts w:ascii="Times New Roman" w:cs="Times New Roman" w:eastAsia="Times New Roman" w:hAnsi="Times New Roman"/>
          <w:sz w:val="22"/>
          <w:szCs w:val="22"/>
          <w:color w:val="auto"/>
        </w:rPr>
        <w:t>Contemporaneously with the execution of the Merger Agreement, HSAC2 and Orchestra entered into a support agreement (the “</w:t>
      </w:r>
      <w:r>
        <w:rPr>
          <w:rFonts w:ascii="Times New Roman" w:cs="Times New Roman" w:eastAsia="Times New Roman" w:hAnsi="Times New Roman"/>
          <w:sz w:val="22"/>
          <w:szCs w:val="22"/>
          <w:b w:val="1"/>
          <w:bCs w:val="1"/>
          <w:color w:val="auto"/>
        </w:rPr>
        <w:t>Parent Support Agreement</w:t>
      </w:r>
      <w:r>
        <w:rPr>
          <w:rFonts w:ascii="Times New Roman" w:cs="Times New Roman" w:eastAsia="Times New Roman" w:hAnsi="Times New Roman"/>
          <w:sz w:val="22"/>
          <w:szCs w:val="22"/>
          <w:color w:val="auto"/>
        </w:rPr>
        <w:t>”) with the Sponsor and certain other HSAC2 shareholders (each a “</w:t>
      </w:r>
      <w:r>
        <w:rPr>
          <w:rFonts w:ascii="Times New Roman" w:cs="Times New Roman" w:eastAsia="Times New Roman" w:hAnsi="Times New Roman"/>
          <w:sz w:val="22"/>
          <w:szCs w:val="22"/>
          <w:b w:val="1"/>
          <w:bCs w:val="1"/>
          <w:color w:val="auto"/>
        </w:rPr>
        <w:t>Shareholder</w:t>
      </w:r>
      <w:r>
        <w:rPr>
          <w:rFonts w:ascii="Times New Roman" w:cs="Times New Roman" w:eastAsia="Times New Roman" w:hAnsi="Times New Roman"/>
          <w:sz w:val="22"/>
          <w:szCs w:val="22"/>
          <w:color w:val="auto"/>
        </w:rPr>
        <w:t>”) pursuant to which the Shareholders identified therein have agreed (a) to appear at any shareholder meetings called to approve the Merger or any proposal to extend the period of time HSAC2 is afforded under its organizational documents and its prospectus to consummate an initial business combination (an “</w:t>
      </w:r>
      <w:r>
        <w:rPr>
          <w:rFonts w:ascii="Times New Roman" w:cs="Times New Roman" w:eastAsia="Times New Roman" w:hAnsi="Times New Roman"/>
          <w:sz w:val="22"/>
          <w:szCs w:val="22"/>
          <w:b w:val="1"/>
          <w:bCs w:val="1"/>
          <w:color w:val="auto"/>
        </w:rPr>
        <w:t>Extension Proposal</w:t>
      </w:r>
      <w:r>
        <w:rPr>
          <w:rFonts w:ascii="Times New Roman" w:cs="Times New Roman" w:eastAsia="Times New Roman" w:hAnsi="Times New Roman"/>
          <w:sz w:val="22"/>
          <w:szCs w:val="22"/>
          <w:color w:val="auto"/>
        </w:rPr>
        <w:t>”), (b) not to redeem their shares or any other equity securities of HSAC2 now or in future acquired or beneficially owned, (c) to vote such shares and equity securities (i) in favor of the Domestication, the Merger and related transactions, (ii) in favor of any Extension Proposal, (iii) against any change in the business, management or board of HSAC2 contrary to the Merger Agreement and against any other proposal reasonably expected to breach, prevent or impede the Merger, and (d) to waive anti-dilution and similar rights with respect to such shares, whether under the HSAC2 amended and restated memorandum and articles of association, applicable law, or a contract regarding the Merger and related transactions with HSAC2. In addition, the Sponsor has agreed that 25% or 1,000,000 shares of its New Orchestra Common Stock received in the Domestication will be forfeited to New Orchestra on the first business day following the Earnout Period unless, as to 500,000 shares, the Initial Milestone Event occurs, and as to the remaining 500,000 shares, the Final Milestone Event occurs. Further, subject to the Closing, the Sponsor has agreed to forfeit 50% of its HSAC2 warrants, comprising 750,000 warrants for no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u w:val="single" w:color="auto"/>
          <w:color w:val="auto"/>
        </w:rPr>
        <w:t>Orchestra Stockholder Support Agreement</w:t>
      </w:r>
    </w:p>
    <w:p>
      <w:pPr>
        <w:spacing w:after="0" w:line="234" w:lineRule="exact"/>
        <w:rPr>
          <w:sz w:val="20"/>
          <w:szCs w:val="20"/>
          <w:color w:val="auto"/>
        </w:rPr>
      </w:pPr>
    </w:p>
    <w:p>
      <w:pPr>
        <w:jc w:val="both"/>
        <w:ind w:firstLine="389"/>
        <w:spacing w:after="0" w:line="236" w:lineRule="auto"/>
        <w:rPr>
          <w:sz w:val="20"/>
          <w:szCs w:val="20"/>
          <w:color w:val="auto"/>
        </w:rPr>
      </w:pPr>
      <w:r>
        <w:rPr>
          <w:rFonts w:ascii="Times New Roman" w:cs="Times New Roman" w:eastAsia="Times New Roman" w:hAnsi="Times New Roman"/>
          <w:sz w:val="22"/>
          <w:szCs w:val="22"/>
          <w:color w:val="auto"/>
        </w:rPr>
        <w:t>Contemporaneously with the execution of the Merger Agreement, HSAC2 and Orchestra entered into a support agreement (the “</w:t>
      </w:r>
      <w:r>
        <w:rPr>
          <w:rFonts w:ascii="Times New Roman" w:cs="Times New Roman" w:eastAsia="Times New Roman" w:hAnsi="Times New Roman"/>
          <w:sz w:val="22"/>
          <w:szCs w:val="22"/>
          <w:b w:val="1"/>
          <w:bCs w:val="1"/>
          <w:color w:val="auto"/>
        </w:rPr>
        <w:t>Orchestra Support Agreement</w:t>
      </w:r>
      <w:r>
        <w:rPr>
          <w:rFonts w:ascii="Times New Roman" w:cs="Times New Roman" w:eastAsia="Times New Roman" w:hAnsi="Times New Roman"/>
          <w:sz w:val="22"/>
          <w:szCs w:val="22"/>
          <w:color w:val="auto"/>
        </w:rPr>
        <w:t>”) with certain Orchestra stockholders (each a “</w:t>
      </w:r>
      <w:r>
        <w:rPr>
          <w:rFonts w:ascii="Times New Roman" w:cs="Times New Roman" w:eastAsia="Times New Roman" w:hAnsi="Times New Roman"/>
          <w:sz w:val="22"/>
          <w:szCs w:val="22"/>
          <w:b w:val="1"/>
          <w:bCs w:val="1"/>
          <w:color w:val="auto"/>
        </w:rPr>
        <w:t>Stockholder</w:t>
      </w:r>
      <w:r>
        <w:rPr>
          <w:rFonts w:ascii="Times New Roman" w:cs="Times New Roman" w:eastAsia="Times New Roman" w:hAnsi="Times New Roman"/>
          <w:sz w:val="22"/>
          <w:szCs w:val="22"/>
          <w:color w:val="auto"/>
        </w:rPr>
        <w:t>” ) pursuant to which each Stockholder has agreed (a) to appear at any stockholder meetings called to approve the Merger, (b) to vote such shares and equity securities (i) in favor of the Merger and related transactions, (ii) against any change in the business, management or board of Orchestra contrary to the Merger Agreement and against any other proposal reasonably expected to breach, prevent or impede the Merger.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Amended and Restated Registration Rights and Lock-Up Agreement.</w:t>
      </w:r>
    </w:p>
    <w:p>
      <w:pPr>
        <w:spacing w:after="0" w:line="233" w:lineRule="exact"/>
        <w:rPr>
          <w:sz w:val="20"/>
          <w:szCs w:val="20"/>
          <w:color w:val="auto"/>
        </w:rPr>
      </w:pPr>
    </w:p>
    <w:p>
      <w:pPr>
        <w:jc w:val="both"/>
        <w:ind w:firstLine="389"/>
        <w:spacing w:after="0" w:line="232" w:lineRule="auto"/>
        <w:rPr>
          <w:sz w:val="20"/>
          <w:szCs w:val="20"/>
          <w:color w:val="auto"/>
        </w:rPr>
      </w:pPr>
      <w:r>
        <w:rPr>
          <w:rFonts w:ascii="Times New Roman" w:cs="Times New Roman" w:eastAsia="Times New Roman" w:hAnsi="Times New Roman"/>
          <w:sz w:val="22"/>
          <w:szCs w:val="22"/>
          <w:color w:val="auto"/>
        </w:rPr>
        <w:t>At the Closing, HSAC2 will enter into an Amended and Restated Registration Rights and Lock-Up Agreement (the “</w:t>
      </w:r>
      <w:r>
        <w:rPr>
          <w:rFonts w:ascii="Times New Roman" w:cs="Times New Roman" w:eastAsia="Times New Roman" w:hAnsi="Times New Roman"/>
          <w:sz w:val="22"/>
          <w:szCs w:val="22"/>
          <w:b w:val="1"/>
          <w:bCs w:val="1"/>
          <w:i w:val="1"/>
          <w:iCs w:val="1"/>
          <w:color w:val="auto"/>
        </w:rPr>
        <w:t>Amended and Restated Registration Rights Agreement</w:t>
      </w:r>
      <w:r>
        <w:rPr>
          <w:rFonts w:ascii="Times New Roman" w:cs="Times New Roman" w:eastAsia="Times New Roman" w:hAnsi="Times New Roman"/>
          <w:sz w:val="22"/>
          <w:szCs w:val="22"/>
          <w:color w:val="auto"/>
        </w:rPr>
        <w:t>”) with the RTW Funds and certain existing stockholders of HSAC2 and Orchestra (collectively, the “</w:t>
      </w:r>
      <w:r>
        <w:rPr>
          <w:rFonts w:ascii="Times New Roman" w:cs="Times New Roman" w:eastAsia="Times New Roman" w:hAnsi="Times New Roman"/>
          <w:sz w:val="22"/>
          <w:szCs w:val="22"/>
          <w:b w:val="1"/>
          <w:bCs w:val="1"/>
          <w:i w:val="1"/>
          <w:iCs w:val="1"/>
          <w:color w:val="auto"/>
        </w:rPr>
        <w:t>Holders</w:t>
      </w:r>
      <w:r>
        <w:rPr>
          <w:rFonts w:ascii="Times New Roman" w:cs="Times New Roman" w:eastAsia="Times New Roman" w:hAnsi="Times New Roman"/>
          <w:sz w:val="22"/>
          <w:szCs w:val="22"/>
          <w:color w:val="auto"/>
        </w:rPr>
        <w:t>”) with respect to the resale of shares of New Orchestra held, or acquired by the Holders before or pursuant to the Merger, and including any shares issuable on conversion of preferred stock, Earnout Consideration and shares acquired under the Forward Purchase Agreements and the Backstop Agreements. The Amended and Restated Registration Rights Agreement amends and restates the registration rights agreement that HSAC2 entered into as of August 3, 2020 in connection with its initial public offering. Subject to the Lock-Up described below, New Orchestra will file a registration statement to register the public resale of the Holders’ shares as soon as reasonably practicable, but in any event within 45 calendar days following the Closing. In addition, subject to certain requirements and customary conditions, including with regard to the number of requests that may be made and when, the Holders may request to sell all or any portion of their registrable securities in an underwritten offering so long as the total offering price is reasonably expected to exceed, in the aggregate, $25 million. In addition, the Holders will have certain “piggy-back” registration rights that require New Orchestra to include such securities in registration statements that New Orchestra otherwise files, subject to certain requirements and customary conditions. The Amended and Restated Registration Rights Agreement does not contain liquidated damages provisions or other cash settlement provisions resulting from delays in registering the New Orchestra’s securities. New Orchestra will bear the expenses incurred in connection with the filing of any such registration statements.</w:t>
      </w:r>
    </w:p>
    <w:p>
      <w:pPr>
        <w:spacing w:after="0" w:line="218" w:lineRule="exact"/>
        <w:rPr>
          <w:sz w:val="20"/>
          <w:szCs w:val="20"/>
          <w:color w:val="auto"/>
        </w:rPr>
      </w:pPr>
    </w:p>
    <w:p>
      <w:pPr>
        <w:jc w:val="both"/>
        <w:ind w:firstLine="389"/>
        <w:spacing w:after="0" w:line="243" w:lineRule="auto"/>
        <w:rPr>
          <w:sz w:val="20"/>
          <w:szCs w:val="20"/>
          <w:color w:val="auto"/>
        </w:rPr>
      </w:pPr>
      <w:r>
        <w:rPr>
          <w:rFonts w:ascii="Times New Roman" w:cs="Times New Roman" w:eastAsia="Times New Roman" w:hAnsi="Times New Roman"/>
          <w:sz w:val="21"/>
          <w:szCs w:val="21"/>
          <w:color w:val="auto"/>
        </w:rPr>
        <w:t>The Amended and Restated Registration Rights Agreement requires the Holders to agree, subject to certain customary exceptions, not to (i) sell, assign, offer to sell, contract or agree to sell, grant any option to purchase or otherwise dispose of or agree to dispose of, directly or indirectly, any Lock-up Shares (as defined below), (ii) establish or increase a put equivalent position or liquidation with respect to or decrease a call equivalent position within the meaning of Section 16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with respect to any Lock-up Shares, (iii) enter into any swap or other arrangement that transfers to another, in whole or in part, any of the economic consequences of ownership of any Lock-up Shares, or (iv) publicly announce an intention to effect any of the foregoing during the Lock-up Period (as defined below). The term “</w:t>
      </w:r>
      <w:r>
        <w:rPr>
          <w:rFonts w:ascii="Times New Roman" w:cs="Times New Roman" w:eastAsia="Times New Roman" w:hAnsi="Times New Roman"/>
          <w:sz w:val="21"/>
          <w:szCs w:val="21"/>
          <w:b w:val="1"/>
          <w:bCs w:val="1"/>
          <w:color w:val="auto"/>
        </w:rPr>
        <w:t>Lock-up Shares</w:t>
      </w:r>
      <w:r>
        <w:rPr>
          <w:rFonts w:ascii="Times New Roman" w:cs="Times New Roman" w:eastAsia="Times New Roman" w:hAnsi="Times New Roman"/>
          <w:sz w:val="21"/>
          <w:szCs w:val="21"/>
          <w:color w:val="auto"/>
        </w:rPr>
        <w:t>” means any shares of New Orchestra Common Stock or any security convertible into or exercisable or exchanged for New Orchestra Common Stock beneficially owned or owned of record by such Holder, and the term “</w:t>
      </w:r>
      <w:r>
        <w:rPr>
          <w:rFonts w:ascii="Times New Roman" w:cs="Times New Roman" w:eastAsia="Times New Roman" w:hAnsi="Times New Roman"/>
          <w:sz w:val="21"/>
          <w:szCs w:val="21"/>
          <w:b w:val="1"/>
          <w:bCs w:val="1"/>
          <w:color w:val="auto"/>
        </w:rPr>
        <w:t>Lock-Up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Period</w:t>
      </w:r>
      <w:r>
        <w:rPr>
          <w:rFonts w:ascii="Times New Roman" w:cs="Times New Roman" w:eastAsia="Times New Roman" w:hAnsi="Times New Roman"/>
          <w:sz w:val="21"/>
          <w:szCs w:val="21"/>
          <w:color w:val="auto"/>
        </w:rPr>
        <w:t>” means the period from the Closing until the earlier of: (1)(a)12 months after the Closing with respect to the (i) 4,000,000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of New Orchestra Common Stock to be issued in the Domestication in exchange for 4,000,000 of HSAC2 ordinary shares that were issued to HSAC2’s initial shareholders prior to its initial public offering, (ii) 450,000 shares of New Orchestra Common Stock to be issued in the Domestication in exchange for 450,000 of HSAC2 ordinary shares that were issued in a private placement simultaneously with the HSAC2 initial public offering and (iii) any shares of New Orchestra Common Stock or any security convertible into or exchangeable for New Orchestra Common Stock beneficially owned or owned of record by RTW Investments, LP and its affiliates as of the date of the Closing, and (b) six (6) months after the Closing with respect to all other Holders and New Orchestra Common Stock and (2) the date on which New Orchestra completes a liquidation, merger, stock exchange, reorganization or other similar transaction that results in all of the New Orchestra stockholders having the right to exchange their shares of New Orchestra Common Stock for cash, securities or other property.</w:t>
      </w:r>
    </w:p>
    <w:p>
      <w:pPr>
        <w:spacing w:after="0" w:line="214" w:lineRule="exact"/>
        <w:rPr>
          <w:sz w:val="20"/>
          <w:szCs w:val="20"/>
          <w:color w:val="auto"/>
        </w:rPr>
      </w:pPr>
    </w:p>
    <w:p>
      <w:pPr>
        <w:jc w:val="both"/>
        <w:ind w:firstLine="389"/>
        <w:spacing w:after="0" w:line="236" w:lineRule="auto"/>
        <w:rPr>
          <w:sz w:val="20"/>
          <w:szCs w:val="20"/>
          <w:color w:val="auto"/>
        </w:rPr>
      </w:pPr>
      <w:r>
        <w:rPr>
          <w:rFonts w:ascii="Times New Roman" w:cs="Times New Roman" w:eastAsia="Times New Roman" w:hAnsi="Times New Roman"/>
          <w:sz w:val="22"/>
          <w:szCs w:val="22"/>
          <w:color w:val="auto"/>
        </w:rPr>
        <w:t>The foregoing descriptions of agreements and the transactions and documents contemplated thereby do not purport to be complete and are subject to and qualified in their entirety by reference to the Merger Agreement, including the exhibits to the Merger Agreement, the Forward Purchase Agreements, the Backstop Agreement, the Parent Support Agreement, the Orchestra Support Agreement, Form of Amended and Restated Registration Rights and Lock-Up Agreement, and the Form of Earnout Election Agreement, copies of which are filed with this Current Report on Form 8-K as Exhibits 2.1, 10.1, 10.2, 10.3, 10.4, 10.5, 10.6, and 10.7, respectively, and the terms of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Item 3.02 Unregistered Sales of Equity Securities.</w:t>
      </w:r>
    </w:p>
    <w:p>
      <w:pPr>
        <w:spacing w:after="0" w:line="238" w:lineRule="exact"/>
        <w:rPr>
          <w:sz w:val="20"/>
          <w:szCs w:val="20"/>
          <w:color w:val="auto"/>
        </w:rPr>
      </w:pPr>
    </w:p>
    <w:p>
      <w:pPr>
        <w:ind w:right="520"/>
        <w:spacing w:after="0" w:line="255" w:lineRule="auto"/>
        <w:rPr>
          <w:sz w:val="20"/>
          <w:szCs w:val="20"/>
          <w:color w:val="auto"/>
        </w:rPr>
      </w:pPr>
      <w:r>
        <w:rPr>
          <w:rFonts w:ascii="Times New Roman" w:cs="Times New Roman" w:eastAsia="Times New Roman" w:hAnsi="Times New Roman"/>
          <w:sz w:val="21"/>
          <w:szCs w:val="21"/>
          <w:color w:val="auto"/>
        </w:rPr>
        <w:t>The disclosure set forth above in the second, third and fourth paragraphs of Item 1.01 of this Current Report on Form 8-K is incorporated by reference herein. The HSAC2 ordinary shares that may be issued in connection with the Forward Purchase Agreements and the Backstop Agreement, in each case, have not been registered under the Securities Act in reliance on the exemption from registration provided by Section 4(a)(2) of the Securities Act and/or Regulation D promulgated thereunder.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237" w:lineRule="exact"/>
        <w:rPr>
          <w:sz w:val="20"/>
          <w:szCs w:val="20"/>
          <w:color w:val="auto"/>
        </w:rPr>
      </w:pPr>
    </w:p>
    <w:p>
      <w:pPr>
        <w:ind w:right="260" w:firstLine="389"/>
        <w:spacing w:after="0" w:line="239" w:lineRule="auto"/>
        <w:rPr>
          <w:sz w:val="20"/>
          <w:szCs w:val="20"/>
          <w:color w:val="auto"/>
        </w:rPr>
      </w:pPr>
      <w:r>
        <w:rPr>
          <w:rFonts w:ascii="Times New Roman" w:cs="Times New Roman" w:eastAsia="Times New Roman" w:hAnsi="Times New Roman"/>
          <w:sz w:val="22"/>
          <w:szCs w:val="22"/>
          <w:color w:val="auto"/>
        </w:rPr>
        <w:t>The information in this Item 7.01 (including Exhibits 99.1and 99.2) is being furnished and shall not be deemed “filed” for purposes of Section 18 of the Securities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Presentation</w:t>
      </w:r>
    </w:p>
    <w:p>
      <w:pPr>
        <w:spacing w:after="0" w:line="237"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22"/>
          <w:szCs w:val="22"/>
          <w:color w:val="auto"/>
        </w:rPr>
        <w:t>Furnished as Exhibit 99.1 and incorporated into this Item 7.01 by reference is the investor presentation that HSAC2 and Orchestra will use in connection with the Merger and related matters.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37" w:lineRule="exact"/>
        <w:rPr>
          <w:sz w:val="20"/>
          <w:szCs w:val="20"/>
          <w:color w:val="auto"/>
        </w:rPr>
      </w:pPr>
    </w:p>
    <w:p>
      <w:pPr>
        <w:jc w:val="both"/>
        <w:ind w:firstLine="389"/>
        <w:spacing w:after="0" w:line="239" w:lineRule="auto"/>
        <w:rPr>
          <w:sz w:val="20"/>
          <w:szCs w:val="20"/>
          <w:color w:val="auto"/>
        </w:rPr>
      </w:pPr>
      <w:r>
        <w:rPr>
          <w:rFonts w:ascii="Times New Roman" w:cs="Times New Roman" w:eastAsia="Times New Roman" w:hAnsi="Times New Roman"/>
          <w:sz w:val="22"/>
          <w:szCs w:val="22"/>
          <w:color w:val="auto"/>
        </w:rPr>
        <w:t>On July 5, 2022, HSAC2 and Orchestra issued a press release announcing the execution of the Merger Agreement and the recent completion of Orchestra’s Series D financing with gross proceeds totaling approximately $110 million, including an approximately $20 million investment from the RTW Funds and a $40 million investment from Medtronic, as well as related matters. Attached hereto as Exhibit 99.2 and incorporated into this Item 7.01 by reference is the copy of the press release.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Information for Investors and Stockholders</w:t>
      </w:r>
    </w:p>
    <w:p>
      <w:pPr>
        <w:spacing w:after="0" w:line="237" w:lineRule="exact"/>
        <w:rPr>
          <w:sz w:val="20"/>
          <w:szCs w:val="20"/>
          <w:color w:val="auto"/>
        </w:rPr>
      </w:pPr>
    </w:p>
    <w:p>
      <w:pPr>
        <w:jc w:val="both"/>
        <w:ind w:firstLine="389"/>
        <w:spacing w:after="0" w:line="235" w:lineRule="auto"/>
        <w:rPr>
          <w:sz w:val="20"/>
          <w:szCs w:val="20"/>
          <w:color w:val="auto"/>
        </w:rPr>
      </w:pPr>
      <w:r>
        <w:rPr>
          <w:rFonts w:ascii="Times New Roman" w:cs="Times New Roman" w:eastAsia="Times New Roman" w:hAnsi="Times New Roman"/>
          <w:sz w:val="22"/>
          <w:szCs w:val="22"/>
          <w:color w:val="auto"/>
        </w:rPr>
        <w:t xml:space="preserve">In connection with the Proposed Business Combination, HSAC2 intends to file a registration statement on Form S-4 with the SEC, which will include a document that serves as a prospectus and proxy statement of HSAC2, referred to as a “proxy statement/prospectus.” A proxy statement/prospectus will be sent to all HSAC2 stockholders. HSAC2 also will file other documents regarding the Business Combination and related transactions with the SEC. </w:t>
      </w:r>
      <w:r>
        <w:rPr>
          <w:rFonts w:ascii="Times New Roman" w:cs="Times New Roman" w:eastAsia="Times New Roman" w:hAnsi="Times New Roman"/>
          <w:sz w:val="22"/>
          <w:szCs w:val="22"/>
          <w:b w:val="1"/>
          <w:bCs w:val="1"/>
          <w:color w:val="auto"/>
        </w:rPr>
        <w:t>Before making any voting decision,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investors and security holders of HSAC2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Business Combination and related transactions.</w:t>
      </w:r>
    </w:p>
    <w:p>
      <w:pPr>
        <w:spacing w:after="0" w:line="205" w:lineRule="exact"/>
        <w:rPr>
          <w:sz w:val="20"/>
          <w:szCs w:val="20"/>
          <w:color w:val="auto"/>
        </w:rPr>
      </w:pPr>
    </w:p>
    <w:p>
      <w:pPr>
        <w:jc w:val="both"/>
        <w:ind w:firstLine="389"/>
        <w:spacing w:after="0" w:line="244" w:lineRule="auto"/>
        <w:rPr>
          <w:sz w:val="20"/>
          <w:szCs w:val="20"/>
          <w:color w:val="auto"/>
        </w:rPr>
      </w:pPr>
      <w:r>
        <w:rPr>
          <w:rFonts w:ascii="Times New Roman" w:cs="Times New Roman" w:eastAsia="Times New Roman" w:hAnsi="Times New Roman"/>
          <w:sz w:val="22"/>
          <w:szCs w:val="22"/>
          <w:color w:val="auto"/>
        </w:rPr>
        <w:t>Investors and security holders will be able to obtain free copies of the registration statement, the proxy statement/prospectus and all other relevant documents filed or that will be filed with the SEC by HSAC2 through the website maintained by the SEC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238" w:lineRule="exact"/>
        <w:rPr>
          <w:sz w:val="20"/>
          <w:szCs w:val="20"/>
          <w:color w:val="auto"/>
        </w:rPr>
      </w:pPr>
    </w:p>
    <w:p>
      <w:pPr>
        <w:jc w:val="both"/>
        <w:ind w:firstLine="389"/>
        <w:spacing w:after="0" w:line="232" w:lineRule="auto"/>
        <w:rPr>
          <w:sz w:val="20"/>
          <w:szCs w:val="20"/>
          <w:color w:val="auto"/>
        </w:rPr>
      </w:pPr>
      <w:r>
        <w:rPr>
          <w:rFonts w:ascii="Times New Roman" w:cs="Times New Roman" w:eastAsia="Times New Roman" w:hAnsi="Times New Roman"/>
          <w:sz w:val="22"/>
          <w:szCs w:val="22"/>
          <w:color w:val="auto"/>
        </w:rPr>
        <w:t>Certain statements included in this Current Report on Form 8-K are not historical facts but are forward-looking statements within the meaning of “safe harbor” provisions of the Private Securities Litigation Reform Act of 1995, as amended. Forward-looking statements generally are accompanied by words such as “believe,” “may,” “will,” “shall,” “estimate,” “continue,” “anticipate,” “intend,” “expect,” “should,” “would,” “plan,” “future,” “outlook,”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estimates and forecasts of the closing of the Merger, achievement of the conditions necessary for the closing of the Merger, achievement of the Earnout Consideration, other performance metrics and projections of market opportunity. These statements are based on various assumptions, whether or not identified in this Current Report on Form 8-K and on the current expectations of the respective management teams of HSAC2 and Orchestra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HSAC2 and Orchestra. Some important factors that could cause actual results to differ materially from those in any forward-looking statements could include changes in domestic and foreign business, market, financial, political and legal conditions.</w:t>
      </w:r>
    </w:p>
    <w:p>
      <w:pPr>
        <w:spacing w:after="0" w:line="218" w:lineRule="exact"/>
        <w:rPr>
          <w:sz w:val="20"/>
          <w:szCs w:val="20"/>
          <w:color w:val="auto"/>
        </w:rPr>
      </w:pPr>
    </w:p>
    <w:p>
      <w:pPr>
        <w:jc w:val="both"/>
        <w:ind w:firstLine="389"/>
        <w:spacing w:after="0" w:line="232" w:lineRule="auto"/>
        <w:rPr>
          <w:sz w:val="20"/>
          <w:szCs w:val="20"/>
          <w:color w:val="auto"/>
        </w:rPr>
      </w:pPr>
      <w:r>
        <w:rPr>
          <w:rFonts w:ascii="Times New Roman" w:cs="Times New Roman" w:eastAsia="Times New Roman" w:hAnsi="Times New Roman"/>
          <w:sz w:val="22"/>
          <w:szCs w:val="22"/>
          <w:color w:val="auto"/>
        </w:rPr>
        <w:t>These forward-looking statements are subject to a number of risks and uncertainties, including, among others, the inability of the parties to successfully or timely consummate the Merger, including the risk that any required regulatory approvals are not obtained, are delayed or are subject to unanticipated conditions that could adversely affect HSAC2 or the expected benefits of the Merger, if not obtained; the failure to realize the anticipated benefits of the Merger; matters discovered by the parties as they complete their respective due diligence investigation of the other parties; the ability of HSAC2 prior to the Merger, and New Orchestra following the Merger, to maintain the listing of New Orchestra’s shares on Nasdaq; costs related to the Merger; the failure to satisfy the conditions to the consummation of the Merger, including the approval of the Merger Agreement and the Domestication by the shareholders of HSAC2, the satisfaction of the minimum cash requirements of the Merger Agreement following any redemptions by HSAC2’s public shareholders; the risk that the Merger may not be completed by the stated deadline and the potential failure to obtain an extension of the stated deadline; the outcome of any legal proceedings that may be instituted against HSAC2 or Orchestra related to the Merger, expiration of, or failure to extend, the period of time HSAC2 is afforded under its organizational documents and the final prospectus of HSAC2, dated August 3, 2020, to consummate the initial business combination with Orchestra; the attraction and retention of qualified directors, officers, employees and key personnel of HSAC2 and Orchestra prior to the Merger and New Orchestra following the Merger; the ability of New Orchestra to compete effectively in a highly competitive market; the ability to protect and enhance New Orchestra’s corporate reputation and brand; the impact from future regulatory, judicial, and legislative changes in New Orchestra’s industry; the uncertain effects of the COVID-19 pandemic; future financial performance of New Orchestra following the Merger; the ability of Orchestra and New Orchestra to forecast and maintain an adequate rate of revenue growth and appropriately plan its expenses; the ability of New Orchestra to generate sufficient revenue from each of its revenue streams; the ability of New Orchestra to protect its intellectual property from competitors; New Orchestra’s ability to execute its business plans and strategy; and those factors set forth in documents of HSAC2 filed, or to be filed, with the SEC. The foregoing list of risks is not exhaustive.</w:t>
      </w:r>
    </w:p>
    <w:p>
      <w:pPr>
        <w:spacing w:after="0" w:line="211" w:lineRule="exact"/>
        <w:rPr>
          <w:sz w:val="20"/>
          <w:szCs w:val="20"/>
          <w:color w:val="auto"/>
        </w:rPr>
      </w:pPr>
    </w:p>
    <w:p>
      <w:pPr>
        <w:jc w:val="both"/>
        <w:ind w:firstLine="389"/>
        <w:spacing w:after="0" w:line="233" w:lineRule="auto"/>
        <w:rPr>
          <w:sz w:val="20"/>
          <w:szCs w:val="20"/>
          <w:color w:val="auto"/>
        </w:rPr>
      </w:pPr>
      <w:r>
        <w:rPr>
          <w:rFonts w:ascii="Times New Roman" w:cs="Times New Roman" w:eastAsia="Times New Roman" w:hAnsi="Times New Roman"/>
          <w:sz w:val="22"/>
          <w:szCs w:val="22"/>
          <w:color w:val="auto"/>
        </w:rPr>
        <w:t>If any of these risks materialize or our assumptions prove incorrect, actual results could differ materially from the results implied by these forward-looking statements. There may be additional risks that neither HSAC2 nor Orchestra presently know, or that HSAC2 and Orchestra currently believe are immaterial that could also cause actual results to differ from those contained in the forward-looking statements. In addition, forward-looking statements reflect HSAC2’s and Orchestra’s current expectations, plans and forecasts of future events and views as of the date hereof. Nothing in this Current Report on Form 8-K and the attachments hereto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Current Report on Form 8-K and the attachments hereto, which speak only as of the date they are made and are qualified in their entirety by reference to the cautionary statements herein and the risk factors of HSAC2 and Orchestra described above. HSAC2 and Orchestra anticipate that subsequent events and developments will cause their assessments to change. However, while HSAC2 and Orchestra may elect to update these forward-looking statements at some point in the future, they each specifically disclaim any obligation to do so, except as required by law. These forward-looking statements should not be relied upon as representing HSAC2’s or Orchestra’s assessments as of any date subsequent to the date of this Current Report on Form 8-K.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Participants in the Solicitation</w:t>
      </w:r>
    </w:p>
    <w:p>
      <w:pPr>
        <w:spacing w:after="0" w:line="238" w:lineRule="exact"/>
        <w:rPr>
          <w:sz w:val="20"/>
          <w:szCs w:val="20"/>
          <w:color w:val="auto"/>
        </w:rPr>
      </w:pPr>
    </w:p>
    <w:p>
      <w:pPr>
        <w:jc w:val="both"/>
        <w:ind w:firstLine="389"/>
        <w:spacing w:after="0" w:line="235" w:lineRule="auto"/>
        <w:rPr>
          <w:sz w:val="20"/>
          <w:szCs w:val="20"/>
          <w:color w:val="auto"/>
        </w:rPr>
      </w:pPr>
      <w:r>
        <w:rPr>
          <w:rFonts w:ascii="Times New Roman" w:cs="Times New Roman" w:eastAsia="Times New Roman" w:hAnsi="Times New Roman"/>
          <w:sz w:val="22"/>
          <w:szCs w:val="22"/>
          <w:color w:val="auto"/>
        </w:rPr>
        <w:t>HSAC2 and its directors and executive officers may be deemed participants in the solicitation of proxies from HSAC2’s shareholders with respect to the proposed Business Combination. A list of the names of those directors and executive officers and a description of their interests in HSAC2 is contained in HSAC2’s Annual Report on Form 10-K, which was filed with the SEC on March 31, 2022 and is available free of charge at the SEC’s web site at www.sec.gov, or by directing a request to Health Sciences Acquisitions Corporation 2, 40 10th Avenue, Floor 7, New York, NY 10014. Additional information regarding the interests of such participants will be contained in the proxy statement/prospectus for the proposed Business Combination when available.</w:t>
      </w:r>
    </w:p>
    <w:p>
      <w:pPr>
        <w:spacing w:after="0" w:line="210" w:lineRule="exact"/>
        <w:rPr>
          <w:sz w:val="20"/>
          <w:szCs w:val="20"/>
          <w:color w:val="auto"/>
        </w:rPr>
      </w:pPr>
    </w:p>
    <w:p>
      <w:pPr>
        <w:jc w:val="both"/>
        <w:ind w:firstLine="389"/>
        <w:spacing w:after="0" w:line="239" w:lineRule="auto"/>
        <w:rPr>
          <w:sz w:val="20"/>
          <w:szCs w:val="20"/>
          <w:color w:val="auto"/>
        </w:rPr>
      </w:pPr>
      <w:r>
        <w:rPr>
          <w:rFonts w:ascii="Times New Roman" w:cs="Times New Roman" w:eastAsia="Times New Roman" w:hAnsi="Times New Roman"/>
          <w:sz w:val="22"/>
          <w:szCs w:val="22"/>
          <w:color w:val="auto"/>
        </w:rPr>
        <w:t>Orchestra and its directors and executive officers may also be deemed to be participants in the solicitation of proxies from the shareholders of HSAC2 in connection with the proposed Business Combination. A list of the names of such directors and executive officers and information regarding their interests in the proposed Business Combination will be included in the proxy statement/prospectus for the proposed Business Combination when available.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Offer or Solicitation</w:t>
      </w:r>
    </w:p>
    <w:p>
      <w:pPr>
        <w:spacing w:after="0" w:line="237" w:lineRule="exact"/>
        <w:rPr>
          <w:sz w:val="20"/>
          <w:szCs w:val="20"/>
          <w:color w:val="auto"/>
        </w:rPr>
      </w:pPr>
    </w:p>
    <w:p>
      <w:pPr>
        <w:jc w:val="both"/>
        <w:ind w:firstLine="389"/>
        <w:spacing w:after="0" w:line="238" w:lineRule="auto"/>
        <w:rPr>
          <w:sz w:val="20"/>
          <w:szCs w:val="20"/>
          <w:color w:val="auto"/>
        </w:rPr>
      </w:pPr>
      <w:r>
        <w:rPr>
          <w:rFonts w:ascii="Times New Roman" w:cs="Times New Roman" w:eastAsia="Times New Roman" w:hAnsi="Times New Roman"/>
          <w:sz w:val="22"/>
          <w:szCs w:val="22"/>
          <w:color w:val="auto"/>
        </w:rPr>
        <w:t>This Current Report on Form 8-K does not constitute an offer to sell or the solicitation of an offer to buy any securities or a solicitation of any vote or approval, nor shall there be any sale of any securities in any state or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or an exemption therefrom.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5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Agreement and Plan of Merger dated as of July 4, 2022 by and among Health Sciences Acquisitions Corporation 2, HSAC Olympus Merger</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 Inc., and Orchestra BioMed, Inc.</w:t>
            </w:r>
          </w:p>
        </w:tc>
      </w:tr>
      <w:tr>
        <w:trPr>
          <w:trHeight w:val="175"/>
        </w:trPr>
        <w:tc>
          <w:tcPr>
            <w:tcW w:w="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420" w:type="dxa"/>
            <w:vAlign w:val="bottom"/>
          </w:tcPr>
          <w:p>
            <w:pPr>
              <w:spacing w:after="0"/>
              <w:rPr>
                <w:sz w:val="15"/>
                <w:szCs w:val="15"/>
                <w:color w:val="auto"/>
              </w:rPr>
            </w:pPr>
          </w:p>
        </w:tc>
        <w:tc>
          <w:tcPr>
            <w:tcW w:w="1032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Forward Purchase Agreement dated as of July 4, 2022, by and among Health Sciences Acquisitions Corporation 2, Orchestra BioMed, Inc.,</w:t>
            </w:r>
          </w:p>
        </w:tc>
      </w:tr>
      <w:tr>
        <w:trPr>
          <w:trHeight w:val="237"/>
        </w:trPr>
        <w:tc>
          <w:tcPr>
            <w:tcW w:w="32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Covidien Group S.à.r.l.</w:t>
            </w:r>
          </w:p>
        </w:tc>
      </w:tr>
      <w:tr>
        <w:trPr>
          <w:trHeight w:val="175"/>
        </w:trPr>
        <w:tc>
          <w:tcPr>
            <w:tcW w:w="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420" w:type="dxa"/>
            <w:vAlign w:val="bottom"/>
            <w:shd w:val="clear" w:color="auto" w:fill="CCEEFF"/>
          </w:tcPr>
          <w:p>
            <w:pPr>
              <w:spacing w:after="0"/>
              <w:rPr>
                <w:sz w:val="15"/>
                <w:szCs w:val="15"/>
                <w:color w:val="auto"/>
              </w:rPr>
            </w:pPr>
          </w:p>
        </w:tc>
        <w:tc>
          <w:tcPr>
            <w:tcW w:w="1032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Forward Purchase Agreement dated as of July 4, 2022, by and among Health Sciences Acquisitions Corporation 2, Orchestra BioMed, Inc.,</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RTW Master Fund, Ltd., RTW Innovation Master Fund, Ltd., and RTW Venture Fund Limited</w:t>
            </w:r>
          </w:p>
        </w:tc>
      </w:tr>
      <w:tr>
        <w:trPr>
          <w:trHeight w:val="176"/>
        </w:trPr>
        <w:tc>
          <w:tcPr>
            <w:tcW w:w="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p>
        </w:tc>
        <w:tc>
          <w:tcPr>
            <w:tcW w:w="420" w:type="dxa"/>
            <w:vAlign w:val="bottom"/>
          </w:tcPr>
          <w:p>
            <w:pPr>
              <w:spacing w:after="0"/>
              <w:rPr>
                <w:sz w:val="15"/>
                <w:szCs w:val="15"/>
                <w:color w:val="auto"/>
              </w:rPr>
            </w:pPr>
          </w:p>
        </w:tc>
        <w:tc>
          <w:tcPr>
            <w:tcW w:w="1032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Backstop Agreement dated as of July 4, 2022, by and among Health Sciences Acquisitions Corporation 2, Orchestra BioMed, Inc., RTW</w:t>
            </w:r>
          </w:p>
        </w:tc>
      </w:tr>
      <w:tr>
        <w:trPr>
          <w:trHeight w:val="236"/>
        </w:trPr>
        <w:tc>
          <w:tcPr>
            <w:tcW w:w="32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Master Fund, Ltd., RTW Innovation Master Fund, Ltd., and RTW Venture Fund Limited</w:t>
            </w:r>
          </w:p>
        </w:tc>
      </w:tr>
      <w:tr>
        <w:trPr>
          <w:trHeight w:val="175"/>
        </w:trPr>
        <w:tc>
          <w:tcPr>
            <w:tcW w:w="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p>
        </w:tc>
        <w:tc>
          <w:tcPr>
            <w:tcW w:w="420" w:type="dxa"/>
            <w:vAlign w:val="bottom"/>
            <w:shd w:val="clear" w:color="auto" w:fill="CCEEFF"/>
          </w:tcPr>
          <w:p>
            <w:pPr>
              <w:spacing w:after="0"/>
              <w:rPr>
                <w:sz w:val="15"/>
                <w:szCs w:val="15"/>
                <w:color w:val="auto"/>
              </w:rPr>
            </w:pPr>
          </w:p>
        </w:tc>
        <w:tc>
          <w:tcPr>
            <w:tcW w:w="1032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Parent Support Agreement dated as of July 4, 2022 by and among Health Sciences Acquisitions Corporation 2, Orchestra BioMed, Inc.,</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HSAC 2 Holdings, LLC, Alice Lee, Stephanie A. Sirota, Pedro Granadillo, Stuart Peltz, Michael Brophy, and Carsten Boess</w:t>
            </w:r>
          </w:p>
        </w:tc>
      </w:tr>
      <w:tr>
        <w:trPr>
          <w:trHeight w:val="175"/>
        </w:trPr>
        <w:tc>
          <w:tcPr>
            <w:tcW w:w="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p>
        </w:tc>
        <w:tc>
          <w:tcPr>
            <w:tcW w:w="420" w:type="dxa"/>
            <w:vAlign w:val="bottom"/>
          </w:tcPr>
          <w:p>
            <w:pPr>
              <w:spacing w:after="0"/>
              <w:rPr>
                <w:sz w:val="15"/>
                <w:szCs w:val="15"/>
                <w:color w:val="auto"/>
              </w:rPr>
            </w:pPr>
          </w:p>
        </w:tc>
        <w:tc>
          <w:tcPr>
            <w:tcW w:w="1032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Orchestra Support Agreement dated as of July 4, 2022 by and among Health Sciences Acquisitions Corporation 2, Orchestra BioMed, Inc.,</w:t>
            </w:r>
          </w:p>
        </w:tc>
      </w:tr>
      <w:tr>
        <w:trPr>
          <w:trHeight w:val="237"/>
        </w:trPr>
        <w:tc>
          <w:tcPr>
            <w:tcW w:w="32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Covidien Group S.À.R.L.</w:t>
            </w:r>
          </w:p>
        </w:tc>
      </w:tr>
      <w:tr>
        <w:trPr>
          <w:trHeight w:val="175"/>
        </w:trPr>
        <w:tc>
          <w:tcPr>
            <w:tcW w:w="5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p>
        </w:tc>
        <w:tc>
          <w:tcPr>
            <w:tcW w:w="420" w:type="dxa"/>
            <w:vAlign w:val="bottom"/>
            <w:shd w:val="clear" w:color="auto" w:fill="CCEEFF"/>
          </w:tcPr>
          <w:p>
            <w:pPr>
              <w:spacing w:after="0"/>
              <w:rPr>
                <w:sz w:val="15"/>
                <w:szCs w:val="15"/>
                <w:color w:val="auto"/>
              </w:rPr>
            </w:pPr>
          </w:p>
        </w:tc>
        <w:tc>
          <w:tcPr>
            <w:tcW w:w="1032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Form of Amended and Restated Registration Rights and Lock-Up Agreement</w:t>
            </w:r>
          </w:p>
        </w:tc>
      </w:tr>
      <w:tr>
        <w:trPr>
          <w:trHeight w:val="20"/>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p>
        </w:tc>
        <w:tc>
          <w:tcPr>
            <w:tcW w:w="420" w:type="dxa"/>
            <w:vAlign w:val="bottom"/>
          </w:tcPr>
          <w:p>
            <w:pPr>
              <w:spacing w:after="0"/>
              <w:rPr>
                <w:sz w:val="15"/>
                <w:szCs w:val="15"/>
                <w:color w:val="auto"/>
              </w:rPr>
            </w:pPr>
          </w:p>
        </w:tc>
        <w:tc>
          <w:tcPr>
            <w:tcW w:w="1032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Form of Earnout Election Agreement.</w:t>
            </w: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r>
      <w:tr>
        <w:trPr>
          <w:trHeight w:val="201"/>
        </w:trPr>
        <w:tc>
          <w:tcPr>
            <w:tcW w:w="5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99.</w:t>
            </w:r>
            <w:r>
              <w:rPr>
                <w:rFonts w:ascii="Times New Roman" w:cs="Times New Roman" w:eastAsia="Times New Roman" w:hAnsi="Times New Roman"/>
                <w:sz w:val="18"/>
                <w:szCs w:val="18"/>
                <w:u w:val="single" w:color="auto"/>
                <w:color w:val="0000EE"/>
                <w:w w:val="96"/>
              </w:rPr>
              <w:t>1**</w:t>
            </w:r>
          </w:p>
        </w:tc>
        <w:tc>
          <w:tcPr>
            <w:tcW w:w="420" w:type="dxa"/>
            <w:vAlign w:val="bottom"/>
            <w:tcBorders>
              <w:bottom w:val="single" w:sz="8" w:color="CCEEFF"/>
            </w:tcBorders>
            <w:shd w:val="clear" w:color="auto" w:fill="CCEEFF"/>
          </w:tcPr>
          <w:p>
            <w:pPr>
              <w:spacing w:after="0"/>
              <w:rPr>
                <w:sz w:val="17"/>
                <w:szCs w:val="17"/>
                <w:color w:val="auto"/>
              </w:rPr>
            </w:pPr>
          </w:p>
        </w:tc>
        <w:tc>
          <w:tcPr>
            <w:tcW w:w="1032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Investor Presentation dated July 2022</w:t>
            </w:r>
          </w:p>
        </w:tc>
      </w:tr>
      <w:tr>
        <w:trPr>
          <w:trHeight w:val="175"/>
        </w:trPr>
        <w:tc>
          <w:tcPr>
            <w:tcW w:w="500" w:type="dxa"/>
            <w:vAlign w:val="bottom"/>
            <w:tcBorders>
              <w:top w:val="single" w:sz="8" w:color="CCEEFF"/>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6"/>
              </w:rPr>
              <w:t>99.</w:t>
            </w:r>
            <w:r>
              <w:rPr>
                <w:rFonts w:ascii="Times New Roman" w:cs="Times New Roman" w:eastAsia="Times New Roman" w:hAnsi="Times New Roman"/>
                <w:sz w:val="18"/>
                <w:szCs w:val="18"/>
                <w:u w:val="single" w:color="auto"/>
                <w:color w:val="0000EE"/>
                <w:w w:val="96"/>
              </w:rPr>
              <w:t>2**</w:t>
            </w:r>
          </w:p>
        </w:tc>
        <w:tc>
          <w:tcPr>
            <w:tcW w:w="420" w:type="dxa"/>
            <w:vAlign w:val="bottom"/>
            <w:tcBorders>
              <w:top w:val="single" w:sz="8" w:color="CCEEFF"/>
            </w:tcBorders>
          </w:tcPr>
          <w:p>
            <w:pPr>
              <w:spacing w:after="0"/>
              <w:rPr>
                <w:sz w:val="15"/>
                <w:szCs w:val="15"/>
                <w:color w:val="auto"/>
              </w:rPr>
            </w:pPr>
          </w:p>
        </w:tc>
        <w:tc>
          <w:tcPr>
            <w:tcW w:w="10320" w:type="dxa"/>
            <w:vAlign w:val="bottom"/>
            <w:tcBorders>
              <w:top w:val="single" w:sz="8" w:color="CCEEFF"/>
            </w:tcBorders>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Press release issued by Orchestra BioMed, Inc. on July 5, 2022</w:t>
            </w:r>
          </w:p>
        </w:tc>
      </w:tr>
    </w:tbl>
    <w:p>
      <w:pPr>
        <w:spacing w:after="0" w:line="9" w:lineRule="exact"/>
        <w:rPr>
          <w:sz w:val="20"/>
          <w:szCs w:val="20"/>
          <w:color w:val="auto"/>
        </w:rPr>
      </w:pPr>
    </w:p>
    <w:p>
      <w:pPr>
        <w:ind w:left="1020" w:hanging="1012"/>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w:t>
      </w:r>
    </w:p>
    <w:p>
      <w:pPr>
        <w:spacing w:after="0" w:line="242" w:lineRule="exact"/>
        <w:rPr>
          <w:rFonts w:ascii="Times New Roman" w:cs="Times New Roman" w:eastAsia="Times New Roman" w:hAnsi="Times New Roman"/>
          <w:sz w:val="18"/>
          <w:szCs w:val="18"/>
          <w:color w:val="auto"/>
        </w:rPr>
      </w:pPr>
    </w:p>
    <w:p>
      <w:pPr>
        <w:ind w:left="340" w:right="4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Certain schedules and exhibits have been omitted pursuant to Item 601(b)(2) of Regulation S-K. The registrant hereby undertakes to furnish copies of any of the omitted schedules and exhibits upon request by the U.S. Securities and Exchange Commission.</w:t>
      </w:r>
    </w:p>
    <w:p>
      <w:pPr>
        <w:ind w:left="1080" w:hanging="748"/>
        <w:spacing w:after="0"/>
        <w:tabs>
          <w:tab w:leader="none" w:pos="108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Furnished but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-912495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5,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HEALTH SCIENCES ACQUISITIONS CORPORATION 2</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Roderick Wong</w:t>
            </w:r>
          </w:p>
        </w:tc>
        <w:tc>
          <w:tcPr>
            <w:tcW w:w="6700" w:type="dxa"/>
            <w:vAlign w:val="bottom"/>
          </w:tcPr>
          <w:p>
            <w:pPr>
              <w:spacing w:after="0"/>
              <w:rPr>
                <w:sz w:val="20"/>
                <w:szCs w:val="20"/>
                <w:color w:val="auto"/>
              </w:rPr>
            </w:pPr>
          </w:p>
        </w:tc>
      </w:tr>
      <w:tr>
        <w:trPr>
          <w:trHeight w:val="198"/>
        </w:trPr>
        <w:tc>
          <w:tcPr>
            <w:tcW w:w="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Roderick Wong, M.D.</w:t>
            </w:r>
          </w:p>
        </w:tc>
        <w:tc>
          <w:tcPr>
            <w:tcW w:w="670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700" w:type="dxa"/>
            <w:vAlign w:val="bottom"/>
          </w:tcPr>
          <w:p>
            <w:pPr>
              <w:spacing w:after="0"/>
              <w:rPr>
                <w:sz w:val="20"/>
                <w:szCs w:val="20"/>
                <w:color w:val="auto"/>
              </w:rPr>
            </w:pPr>
          </w:p>
        </w:tc>
      </w:tr>
      <w:tr>
        <w:trPr>
          <w:trHeight w:val="358"/>
        </w:trPr>
        <w:tc>
          <w:tcPr>
            <w:tcW w:w="6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July 4, 2022</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00" w:lineRule="exact"/>
        <w:rPr>
          <w:sz w:val="20"/>
          <w:szCs w:val="20"/>
          <w:color w:val="auto"/>
        </w:rPr>
      </w:pPr>
    </w:p>
    <w:p>
      <w:pPr>
        <w:spacing w:after="0" w:line="2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ORCHESTRA BIOMED, INC.,</w:t>
      </w:r>
    </w:p>
    <w:p>
      <w:pPr>
        <w:spacing w:after="0" w:line="200" w:lineRule="exact"/>
        <w:rPr>
          <w:sz w:val="20"/>
          <w:szCs w:val="20"/>
          <w:color w:val="auto"/>
        </w:rPr>
      </w:pP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HEALTH SCIENCES ACQUISITIONS CORPORATION 2</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HSAC OLYMPUS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457200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9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770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05"/>
        </w:trPr>
        <w:tc>
          <w:tcPr>
            <w:tcW w:w="10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3"/>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1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DOMESTICATION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2.1</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MERGER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3.1</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Merger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3.2</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3.3</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Time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3.4</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Effects of the Merger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3.5</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 of Incorporation; Bylaws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3.6</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Directors and Officers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3.7</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3.8</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Further Ownership Rights in Company Capital Stock</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3.9</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Not Transferable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3.10</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Rights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3.11</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Tax Treatment of the Merger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EXCHANGE OF SHARES; CONSIDERATION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4.1</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the Merger on Company Capital Stock</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4.2</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Treatment of Company Options, Company Warrants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4.3</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Dissenting Shares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4.4</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Surrender and Payment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4.5</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 Consideration Spreadsheet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4.6</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4.7</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Earnout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4.8</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Fractional Shares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4.9</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Lost or Destroyed Certificates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THE COMPANY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5.2</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5.3</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5.4</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Non-Contravention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5.5</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5.6</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5.7</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5.8</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Internal Accounting Controls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5.9</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5.10</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Properties; Title to the Company’s Assets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5.11</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5.12</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723"/>
        </w:trPr>
        <w:tc>
          <w:tcPr>
            <w:tcW w:w="102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800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TABLE OF CONTENTS CONTINUED</w:t>
            </w:r>
          </w:p>
        </w:tc>
        <w:tc>
          <w:tcPr>
            <w:tcW w:w="18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8"/>
        </w:trPr>
        <w:tc>
          <w:tcPr>
            <w:tcW w:w="10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5.13</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Licenses and Permits</w:t>
            </w:r>
          </w:p>
        </w:tc>
        <w:tc>
          <w:tcPr>
            <w:tcW w:w="18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5.14</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Laws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5.15</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5.16</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Employees; Employment Matters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5.17</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5.18</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Benefits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5.19</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Property</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5.20</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Matters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5.21</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Laws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5.22</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Finders’ Fees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5.23</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Powers of Attorney, Suretyships and Bank Accounts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5.24</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Directors and Officers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5.25</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Trade Control Laws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5.26</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5.27</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5.28</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Trading or Short Position</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5.29</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an Investment Company</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5.30</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Healthcare Compliance</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5.31</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 Supplied</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2"/>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REPRESENTATIONS AND WARRANTIES OF THE PARENT PARTIES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Existence and Power; Merger Sub</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6.2</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Authorization</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6.3</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6.4</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Non-Contravention</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6.5</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Finders’ Fees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6.6</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Shares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6.7</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Capitalization</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6.8</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 Supplied</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6.9</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 Fund</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6.10</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Board Approval</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6.11</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Parent SEC Documents and Financial Statements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6.12</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6.13</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Trade Control and Other Laws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6.14</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Affiliate Transactions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6.15</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6.16</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 Indebtedness and Other Liabilities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6.17</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Matters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6.18</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Business Activities; Contracts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COVENANTS OF THE PARTIES PENDING CLOSING</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1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7.1</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Conduct of the Business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7.2</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Exclusivity</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7.3</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Access to Information</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7.4</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7.5</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Cooperation with Form S-4/Proxy Statement; Other Filings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7.6</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 Account</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7.7</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Obligations of Parent and Merger Sub</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7.8</w:t>
            </w:r>
          </w:p>
        </w:tc>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 CONTINUED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7.9</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“Blank-Check Company”</w:t>
            </w:r>
          </w:p>
        </w:tc>
        <w:tc>
          <w:tcPr>
            <w:tcW w:w="20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7.10</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Parent Closing Statement</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7.11</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Extension Proxy Statement and Proposal</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32"/>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COVENANTS OF THE COMPANY</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1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8.1</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Reporting; Compliance with Laws; No Insider Trading</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8.2</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8.3</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Company’s Stockholders Approval</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8.4</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Financial Information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8.5</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Agreements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8.6</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280G Approval</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32"/>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COVENANTS OF ALL PARTIES HERETO</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1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9.1</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Commercially Reasonable Efforts; Further Assurances; Governmental Consents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9.2</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SPAC Agreements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9.3</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9.4</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and Officers’ Indemnification and Liability Insurance</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9.5</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Parent Public Filings; Nasdaq</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9.6</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Tax Matters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9.7</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Parent Equity Incentive Plan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32"/>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CONDITIONS TO CLOSING</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1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10.1</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 to the Obligations of the Parties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10.2</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10.3</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32"/>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TERMINATION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1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11.1</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Without Default</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11.2</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Upon Default</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11.3</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Termination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32"/>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MISCELLANEOUS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1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12.1</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12.2</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No Waivers; Remedies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12.3</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Arm’s Length Bargaining; No Presumption Against Drafter</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12.4</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Publicity</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12.5</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12.6</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Assignment or Delegation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12.7</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12.8</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 Facsimile Signatures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12.9</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Entire Agreement</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12.10</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12.11</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Further Assurances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12.12</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1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12.13</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 CONTINUED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4"/>
        </w:trPr>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12.14</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Other Representations; No Reliance</w:t>
            </w:r>
          </w:p>
        </w:tc>
        <w:tc>
          <w:tcPr>
            <w:tcW w:w="27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12.15</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Jury Trial</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12.16</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12.17</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Attorneys’ Fees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12.18</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Remedies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12.19</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Non-Recourse</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12.20</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Non-Survival of Representations, Warranties and Covenants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42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Company Support Agreements</w:t>
            </w: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Parent Support Agreement</w:t>
            </w:r>
          </w:p>
        </w:tc>
        <w:tc>
          <w:tcPr>
            <w:tcW w:w="27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Registration Rights Agreement</w:t>
            </w:r>
          </w:p>
        </w:tc>
        <w:tc>
          <w:tcPr>
            <w:tcW w:w="27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Parent Charter</w:t>
            </w:r>
          </w:p>
        </w:tc>
        <w:tc>
          <w:tcPr>
            <w:tcW w:w="27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Bylaws of Parent</w:t>
            </w:r>
          </w:p>
        </w:tc>
        <w:tc>
          <w:tcPr>
            <w:tcW w:w="27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Earnout Election Agreement</w:t>
            </w:r>
          </w:p>
        </w:tc>
        <w:tc>
          <w:tcPr>
            <w:tcW w:w="27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Parent Equity Incentive Plan</w:t>
            </w:r>
          </w:p>
        </w:tc>
        <w:tc>
          <w:tcPr>
            <w:tcW w:w="27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Forward Purchase Agreement</w:t>
            </w:r>
          </w:p>
        </w:tc>
        <w:tc>
          <w:tcPr>
            <w:tcW w:w="27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Backstop Agreement</w:t>
            </w:r>
          </w:p>
        </w:tc>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and Plan of Merger is made as of July 4, 2022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Health Sciences Acquisitions Corporation 2, a Cayman Islands exempted company (which shall deregister in the Cayman Islands and domesticate as a Delaware corporation prior to the Closing,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HSAC Olympus Merger Sub, Inc., a Delaware corporation and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Orchestra BioMed,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E T H:</w:t>
      </w:r>
    </w:p>
    <w:p>
      <w:pPr>
        <w:spacing w:after="0" w:line="229" w:lineRule="exact"/>
        <w:rPr>
          <w:sz w:val="20"/>
          <w:szCs w:val="20"/>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are in the business of biomedical innovation and related activities (as conducted by the Company Group,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a blank check company incorporated as a Cayman Islands exempted company and incorporated for the purpose of effecting a merger, share exchange, asset acquisition, stock purchase, reorganization or similar business combination with one or more businesses;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21, 2022, Parent filed a preliminary proxy statement (the “</w:t>
      </w:r>
      <w:r>
        <w:rPr>
          <w:rFonts w:ascii="Times New Roman" w:cs="Times New Roman" w:eastAsia="Times New Roman" w:hAnsi="Times New Roman"/>
          <w:sz w:val="18"/>
          <w:szCs w:val="18"/>
          <w:u w:val="single" w:color="auto"/>
          <w:color w:val="auto"/>
        </w:rPr>
        <w:t>Extension Proxy Statement</w:t>
      </w:r>
      <w:r>
        <w:rPr>
          <w:rFonts w:ascii="Times New Roman" w:cs="Times New Roman" w:eastAsia="Times New Roman" w:hAnsi="Times New Roman"/>
          <w:sz w:val="18"/>
          <w:szCs w:val="18"/>
          <w:color w:val="auto"/>
        </w:rPr>
        <w:t>”) with the SEC to be distributed to the holders of Parent Ordinary Shares in order to solicit proxies therefrom to vote, at an extraordinary general meeting to be called and held for the purpose of such vote (the “</w:t>
      </w:r>
      <w:r>
        <w:rPr>
          <w:rFonts w:ascii="Times New Roman" w:cs="Times New Roman" w:eastAsia="Times New Roman" w:hAnsi="Times New Roman"/>
          <w:sz w:val="18"/>
          <w:szCs w:val="18"/>
          <w:u w:val="single" w:color="auto"/>
          <w:color w:val="auto"/>
        </w:rPr>
        <w:t>Extension Meeting</w:t>
      </w:r>
      <w:r>
        <w:rPr>
          <w:rFonts w:ascii="Times New Roman" w:cs="Times New Roman" w:eastAsia="Times New Roman" w:hAnsi="Times New Roman"/>
          <w:sz w:val="18"/>
          <w:szCs w:val="18"/>
          <w:color w:val="auto"/>
        </w:rPr>
        <w:t>”) in favor of a proposal (the “</w:t>
      </w:r>
      <w:r>
        <w:rPr>
          <w:rFonts w:ascii="Times New Roman" w:cs="Times New Roman" w:eastAsia="Times New Roman" w:hAnsi="Times New Roman"/>
          <w:sz w:val="18"/>
          <w:szCs w:val="18"/>
          <w:u w:val="single" w:color="auto"/>
          <w:color w:val="auto"/>
        </w:rPr>
        <w:t>Extension Proposal</w:t>
      </w:r>
      <w:r>
        <w:rPr>
          <w:rFonts w:ascii="Times New Roman" w:cs="Times New Roman" w:eastAsia="Times New Roman" w:hAnsi="Times New Roman"/>
          <w:sz w:val="18"/>
          <w:szCs w:val="18"/>
          <w:color w:val="auto"/>
        </w:rPr>
        <w:t>”) to (a) amend Parent’s amended and restated articles of association to extend the date by which if Parent has not consummated a merger, amalgamation, share exchange, asset acquisition, share purchase, reorganisation or similar business combination involving one or more businesses or entities, Parent must then, among other things, cease all operations except for the purpose of winding up (the “</w:t>
      </w:r>
      <w:r>
        <w:rPr>
          <w:rFonts w:ascii="Times New Roman" w:cs="Times New Roman" w:eastAsia="Times New Roman" w:hAnsi="Times New Roman"/>
          <w:sz w:val="18"/>
          <w:szCs w:val="18"/>
          <w:u w:val="single" w:color="auto"/>
          <w:color w:val="auto"/>
        </w:rPr>
        <w:t>Business Combination End Date</w:t>
      </w:r>
      <w:r>
        <w:rPr>
          <w:rFonts w:ascii="Times New Roman" w:cs="Times New Roman" w:eastAsia="Times New Roman" w:hAnsi="Times New Roman"/>
          <w:sz w:val="18"/>
          <w:szCs w:val="18"/>
          <w:color w:val="auto"/>
        </w:rPr>
        <w:t>”) from August 6, 2022, to November 6, 2022; and (b) allow Parent, without another shareholder vote, to elect to extend the Business Combination End Date on a monthly basis for up to three times by an additional one month each time after the extension described in the preceding clause (a), upon five days’ advance notice prior to the applicable deadlines, until February 6, 2023 (each, an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or a total of up to six months after the original Business Combination End Date, unless the Closing shall have occurred;</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and subject to the conditions of this Agreement, Parent will deregister in the Cayman Islands and domesticate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as a Delaware corporation in accordance with Section 388 of the Delaware General Corporation Law,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the Cayman Islands Companies Act (As Revised) (the “</w:t>
      </w:r>
      <w:r>
        <w:rPr>
          <w:rFonts w:ascii="Times New Roman" w:cs="Times New Roman" w:eastAsia="Times New Roman" w:hAnsi="Times New Roman"/>
          <w:sz w:val="18"/>
          <w:szCs w:val="18"/>
          <w:u w:val="single" w:color="auto"/>
          <w:color w:val="auto"/>
        </w:rPr>
        <w:t>Cayman Islands Companies Act</w:t>
      </w:r>
      <w:r>
        <w:rPr>
          <w:rFonts w:ascii="Times New Roman" w:cs="Times New Roman" w:eastAsia="Times New Roman" w:hAnsi="Times New Roman"/>
          <w:sz w:val="18"/>
          <w:szCs w:val="18"/>
          <w:color w:val="auto"/>
        </w:rPr>
        <w:t>”) and concurrently with the Domestication, Parent will file a certificate of incorporation with the Secretary of State of Delaware and adopt the Parent Charter and Parent Bylaws;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consummation of the Merger, all of the issued and outstanding shares of Company Preferred Stock will automatically convert into shares of Company Common Stock in accordance with the applicable terms of the Company Certificate of Incorporation, and all such shares of Company Preferred Stock will automatically be cancelled and retired and will cease to exist (the “</w:t>
      </w:r>
      <w:r>
        <w:rPr>
          <w:rFonts w:ascii="Times New Roman" w:cs="Times New Roman" w:eastAsia="Times New Roman" w:hAnsi="Times New Roman"/>
          <w:sz w:val="18"/>
          <w:szCs w:val="18"/>
          <w:u w:val="single" w:color="auto"/>
          <w:color w:val="auto"/>
        </w:rPr>
        <w:t>Preferred Stock Conversion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both"/>
        <w:ind w:left="644" w:hanging="644"/>
        <w:spacing w:after="0" w:line="258"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Domestication and the Preferred Stock Conversion, upon the terms and subject to the conditions set forth herein and in accordance with the DGCL, the parties hereto desire that Merger Sub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that the Company Securities (excluding any shares held in the treasury of the Company) be converted upon the Merger into the right to receive the consideration as is provided herein (the Company following the Merger will be a wholly owned subsidiary of Parent and is sometimes hereinafter referred to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Contemporaneously with the execution of, and as a condition and an inducement to Parent and the Company entering into this Agreement, certain Company Securityholders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pursuant to which, among other things, each such Company Securityholder has agreed to (a) vote all of the shares of Company Capital Stock beneficially owned by such Company Securityholder in favor of (i) the adoption of this Agreement and the approval of the Merger and the other transactions contemplated hereby, and (ii) if applicable, approval of the conversion of issued and outstanding shares of Series A Preferred Stock immediately prior to consummation of the Merger (the “</w:t>
      </w:r>
      <w:r>
        <w:rPr>
          <w:rFonts w:ascii="Times New Roman" w:cs="Times New Roman" w:eastAsia="Times New Roman" w:hAnsi="Times New Roman"/>
          <w:sz w:val="18"/>
          <w:szCs w:val="18"/>
          <w:u w:val="single" w:color="auto"/>
          <w:color w:val="auto"/>
        </w:rPr>
        <w:t>Series A Conversion</w:t>
      </w:r>
      <w:r>
        <w:rPr>
          <w:rFonts w:ascii="Times New Roman" w:cs="Times New Roman" w:eastAsia="Times New Roman" w:hAnsi="Times New Roman"/>
          <w:sz w:val="18"/>
          <w:szCs w:val="18"/>
          <w:color w:val="auto"/>
        </w:rPr>
        <w:t>”); and (b) not to engage in any transactions involving the securities of Parent prior to the Closing;</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Contemporaneously with the execution of, and as a condition and an inducement to Parent and the Company entering into this Agreement, Sponsor and certain other Parent Shareholders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Parent Support Agreement</w:t>
      </w:r>
      <w:r>
        <w:rPr>
          <w:rFonts w:ascii="Times New Roman" w:cs="Times New Roman" w:eastAsia="Times New Roman" w:hAnsi="Times New Roman"/>
          <w:sz w:val="18"/>
          <w:szCs w:val="18"/>
          <w:color w:val="auto"/>
        </w:rPr>
        <w:t>”), pursuant to which, among other things, (a) each such Parent Shareholder has agreed (i) not to transfer or redeem any Ordinary Shares held by such Parent Shareholder, and (ii) to vote in favor of this Agreement and the Merger at the Parent Shareholder Meeting and (b) Sponsor has agreed to forfeit certain Parent Warrants and subject certain Domesticated Parent Common Shares to be received by Sponsor pursuant to the Merger to vesting requirements, all subject to the terms and conditions set forth therein;</w:t>
      </w:r>
    </w:p>
    <w:p>
      <w:pPr>
        <w:spacing w:after="0" w:line="188"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entry into this Agreement, Sponsor has made an aggregate investment of $15,000,000 in the Company, which was previously funded by Sponsor and its Affiliates in a private placement;</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Contemporaneously with the execution of, and as a condition and an inducement to Parent and the Company entering into this Agreement, (a) Parent, the Company and Covidien Group S.à.r.l.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are entering into a Forward Purchase Agreement pursuant to which, among other things, Investor has committed to invest $10,000,000 in Parent substantially concurrently with or prior to the Closing, which commitment may be satisfied through open market transactions (to the extent permitted by applicable Law)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and (b) Parent, the Company and certain funds managed by RTW Investments, LP (“</w:t>
      </w:r>
      <w:r>
        <w:rPr>
          <w:rFonts w:ascii="Times New Roman" w:cs="Times New Roman" w:eastAsia="Times New Roman" w:hAnsi="Times New Roman"/>
          <w:sz w:val="18"/>
          <w:szCs w:val="18"/>
          <w:u w:val="single" w:color="auto"/>
          <w:color w:val="auto"/>
        </w:rPr>
        <w:t>RTW</w:t>
      </w:r>
      <w:r>
        <w:rPr>
          <w:rFonts w:ascii="Times New Roman" w:cs="Times New Roman" w:eastAsia="Times New Roman" w:hAnsi="Times New Roman"/>
          <w:sz w:val="18"/>
          <w:szCs w:val="18"/>
          <w:color w:val="auto"/>
        </w:rPr>
        <w:t>”) are entering into a Forward Purchase Agreement pursuant to which, among other things, such funds managed by RTW have committed to invest $10,000,000 in Parent substantially concurrently with or prior to the Closing, which commitment may be satisfied through open market transactions (to the extent permitted by applicable Law) (the “</w:t>
      </w:r>
      <w:r>
        <w:rPr>
          <w:rFonts w:ascii="Times New Roman" w:cs="Times New Roman" w:eastAsia="Times New Roman" w:hAnsi="Times New Roman"/>
          <w:sz w:val="18"/>
          <w:szCs w:val="18"/>
          <w:u w:val="single" w:color="auto"/>
          <w:color w:val="auto"/>
        </w:rPr>
        <w:t>Sponsor Commitment</w:t>
      </w:r>
      <w:r>
        <w:rPr>
          <w:rFonts w:ascii="Times New Roman" w:cs="Times New Roman" w:eastAsia="Times New Roman" w:hAnsi="Times New Roman"/>
          <w:sz w:val="18"/>
          <w:szCs w:val="18"/>
          <w:color w:val="auto"/>
        </w:rPr>
        <w:t xml:space="preserve">”), in each case, pursuant to a Forward Purchase Agreement in substantially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Forward Purchase Agreements</w:t>
      </w:r>
      <w:r>
        <w:rPr>
          <w:rFonts w:ascii="Times New Roman" w:cs="Times New Roman" w:eastAsia="Times New Roman" w:hAnsi="Times New Roman"/>
          <w:sz w:val="18"/>
          <w:szCs w:val="18"/>
          <w:color w:val="auto"/>
        </w:rPr>
        <w:t>”) and subject to the terms and conditions set forth therein, respectively;</w:t>
      </w:r>
    </w:p>
    <w:p>
      <w:pPr>
        <w:spacing w:after="0" w:line="36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45085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8" w:name="page19"/>
    <w:bookmarkEnd w:id="18"/>
    <w:p>
      <w:pPr>
        <w:jc w:val="both"/>
        <w:ind w:left="1300" w:hanging="644"/>
        <w:spacing w:after="0" w:line="258"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Contemporaneously with the execution of, and as a condition and an inducement to Parent and the Company entering into this Agreement, Parent, the Company and certain funds managed by RTW are entering into a Backstop Agreement in substantially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Backstop Agreement</w:t>
      </w:r>
      <w:r>
        <w:rPr>
          <w:rFonts w:ascii="Times New Roman" w:cs="Times New Roman" w:eastAsia="Times New Roman" w:hAnsi="Times New Roman"/>
          <w:sz w:val="18"/>
          <w:szCs w:val="18"/>
          <w:color w:val="auto"/>
        </w:rPr>
        <w:t>”) pursuant to which, among other things, such funds have agreed to purchase a number of Parent Ordinary Shares from Parent immediately prior to the Closing as necessary to ensure that (assuming the consummation of the Sponsor Commitment) the Minimum Available Cash Condition is satisfied, all subject to the terms and conditions set forth therein;</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the parties hereto intend that each of the Domestication and the Merger will qualify as a reorganization within the meaning of Section 368(a) of the Code, and the Company’s Board of Directors and the Boards of Directors of Parent and Merger Sub have approved this Agreement and intend that it constitute a plan of reorganization within the meaning of Treasury Regulation Section 1.368-2(g);</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has unanimously (a) approved and declared advisable (i) this Agreement and the transactions contemplated by this Agreement and the Additional Agreements to which the Company is or will be party, including the Merger, and the performance of the Company’s obligations hereunder or thereunder, on the terms and subject to the conditions set forth herein or therein, and (ii) the Series A Conversion, (b) determined that this Agreement and such transactions are advisable and in the best interests of the Company and the Company Stockholders and (c) resolved to recommend that the Company Stockholders (i) approve the Merger and such other transactions and adopt this Agreement and the Additional Agreements to which the Company is or will be a party and the performance of the Company of its obligations hereunder and thereunder and (ii) as applicable, approve and adopt the Series A Conversion; and</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Parent has unanimously (i) approved and declared advisable this Agreement and the transactions contemplated by this Agreement and the Additional Agreements to which it is or will be party, including the Merger, and the performance of its obligations hereunder or thereunder, on the terms and subject to the conditions set forth herein or therein, (ii) determined that this Agreement and such transactions are in the best interests of Parent and (iii) resolved to recommend that Parent Shareholders approve the Merger and such other transactions and adopt this Agreement and the Additional Agreements to which it is or will be a party and the performance of such party of its obligations hereunder and thereunder.</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and promises set forth in this Agreement, and other good and valuable consideration, the receipt and sufficiency of which are hereby acknowledged, the parties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legal action, litigation, suit, claim, hearing, proceeding or investigation, including any audit, claim or assessment for Taxes or otherwise, by or before any Authority.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means the Registration Rights Agreement, the Backstop Agreement, the Company Support Agreements, the Parent Support Agreements, the Indemnification Agreements, the Forward Purchase Agreements, and the Earnout Election Agreements.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Taxes</w:t>
      </w:r>
      <w:r>
        <w:rPr>
          <w:rFonts w:ascii="Times New Roman" w:cs="Times New Roman" w:eastAsia="Times New Roman" w:hAnsi="Times New Roman"/>
          <w:sz w:val="18"/>
          <w:szCs w:val="18"/>
          <w:color w:val="auto"/>
        </w:rPr>
        <w:t>” means “Applicable Taxes” as defined in IRS Notice 2020-65 (and any corresponding Taxes under comparable state or local tax applicable Laws).</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Wages</w:t>
      </w:r>
      <w:r>
        <w:rPr>
          <w:rFonts w:ascii="Times New Roman" w:cs="Times New Roman" w:eastAsia="Times New Roman" w:hAnsi="Times New Roman"/>
          <w:sz w:val="18"/>
          <w:szCs w:val="18"/>
          <w:color w:val="auto"/>
        </w:rPr>
        <w:t>” means “Applicable Wages” as defined in IRS Notice 2020-65 (and any corresponding wages under comparable state or local tax applicable Laws).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exercising executive, legislative, judicial, regulatory or administrative functions (to the extent that the rules, regulations or orders of such organization or authority have the force of Law), or any arbitrator, court or tribunal of competent jurisdiction.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w:t>
      </w:r>
      <w:r>
        <w:rPr>
          <w:rFonts w:ascii="Times New Roman" w:cs="Times New Roman" w:eastAsia="Times New Roman" w:hAnsi="Times New Roman"/>
          <w:sz w:val="18"/>
          <w:szCs w:val="18"/>
          <w:color w:val="auto"/>
        </w:rPr>
        <w:t>” means the unaudited consolidated balance sheet of the Company as of March 31, 2022.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all books and records, ledgers, employee records, customer lists, files, correspondence, and other records of every kind (whether written, electronic, or otherwise embodied) owned or controlled by a Person in which a Person’s assets, the business or its transactions are otherwise reflected, other than stock books and minute books.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End Date</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 legal holiday on which commercial banking institutions in New York, New York are authorized to close for business, excluding as a result of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commercially banking institutions in New York, New York are generally open for use by customers on such day.</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CARES Act</w:t>
      </w:r>
      <w:r>
        <w:rPr>
          <w:rFonts w:ascii="Times New Roman" w:cs="Times New Roman" w:eastAsia="Times New Roman" w:hAnsi="Times New Roman"/>
          <w:sz w:val="18"/>
          <w:szCs w:val="18"/>
          <w:color w:val="auto"/>
        </w:rPr>
        <w:t>” means Coronavirus Aid, Relief, and Economic Security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Registrar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Islands Companies Act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Domestication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any transaction or series of related transactions that results in any Person or “group” (within the meaning of Section 13(d)(3) of the Exchange Act) acquiring equity interests that represent more than 50% of the total voting power of Parent or (b) a sale or disposition of all or substantially all of the assets of Parent and its Subsidiaries on a consolidated basis, in each case other than a transaction or series of related transactions which results in at least 50% of the combined voting power of the then outstanding voting securities of Parent (or any successor to Parent) immediately following the closing of such transaction (or series of related transactions) being beneficially owned, directly or indirectly, by individuals and entities (or Affiliates of such individuals and entities) who were the beneficial owners, respectively, of at least 50% of the equity interests of Parent (or any successor to Parent) immediately prior to such transaction (or series of related transactions).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Consideration Spreadsheet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collectively, the requirements of Sections 601 through 606 of ERISA and Section 4980B of the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means the bylaws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 means Company Common Stock and Company Preferred Stock.</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 of Incorporation</w:t>
      </w:r>
      <w:r>
        <w:rPr>
          <w:rFonts w:ascii="Times New Roman" w:cs="Times New Roman" w:eastAsia="Times New Roman" w:hAnsi="Times New Roman"/>
          <w:sz w:val="18"/>
          <w:szCs w:val="18"/>
          <w:color w:val="auto"/>
        </w:rPr>
        <w:t>” means, collectively, (a) the Amended and Restated Certificate of Incorporation of the Company, filed with the Secretary of State of the State of Delaware on January 22, 2018; (b) the Second Amended and Restated Certificate of Designations of Preferences, Rights and Limitations of Series B Preferred Stock of the Company, filed with the Secretary of State of the State of Delaware on March 19, 2019; (c) the Second Amended and Restated Certificate of Designations of Preferences, Rights and Limitations of Series B Preferred Stock of the Company, filed with the Secretary of State of the State of Delaware on March 19, 2019; (d) the Amended and Restated Certificate of Designations of Preferences, Rights and Limitations of Series B-1 Preferred Stock of the Company, filed with the Secretary of State of the State of Delaware on June 28, 2019; (e) the Second Amended and Restated Certificate of Designations of Preferences, Rights and Limitations of Series C Preferred Stock of the Company, filed with the Secretary of State of the State of Delaware on March 19, 2019; (f) the Amended and Restated Certificate of Designations of Preferences, Rights and Limitations of Series D-1 Preferred Stock of the Company, filed with the Secretary of State of the State of Delaware on February 28, 2022; and (g) the Amended and Restated Certificate of Designations of Preferences, Rights and Limitations of Series D-2 Preferred Stock of the Company, filed with the Secretary of State of the State of Delaware on February 28, 2022.</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common stock of the Company, par value $0.0001 per share.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2B579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-119380</wp:posOffset>
            </wp:positionV>
            <wp:extent cx="2540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(Corporate Existence and Power),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(Authorization),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(Capitalization), and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(Finders’ Fees).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Information Systems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IP</w:t>
      </w:r>
      <w:r>
        <w:rPr>
          <w:rFonts w:ascii="Times New Roman" w:cs="Times New Roman" w:eastAsia="Times New Roman" w:hAnsi="Times New Roman"/>
          <w:sz w:val="18"/>
          <w:szCs w:val="18"/>
          <w:color w:val="auto"/>
        </w:rPr>
        <w:t>” means, collectively, all Company Owned IP and Company Licensed IP.</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Licensed IP</w:t>
      </w:r>
      <w:r>
        <w:rPr>
          <w:rFonts w:ascii="Times New Roman" w:cs="Times New Roman" w:eastAsia="Times New Roman" w:hAnsi="Times New Roman"/>
          <w:sz w:val="18"/>
          <w:szCs w:val="18"/>
          <w:color w:val="auto"/>
        </w:rPr>
        <w:t>” means all Intellectual Property owned by a third Person and licensed to or purported to be licensed to any member of the Company Group or that any member of the Company Group otherwise has a right to use or purports to have a right to use.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(whether vested or unvested) to purchase Company Common Stock granted, and that remains outstanding, under the Equity Incentive Plan.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IP</w:t>
      </w:r>
      <w:r>
        <w:rPr>
          <w:rFonts w:ascii="Times New Roman" w:cs="Times New Roman" w:eastAsia="Times New Roman" w:hAnsi="Times New Roman"/>
          <w:sz w:val="18"/>
          <w:szCs w:val="18"/>
          <w:color w:val="auto"/>
        </w:rPr>
        <w:t>” means all Intellectual Property owned or purported to be owned by any member of the Company Group, in each case, whether exclusively, jointly with another Person or otherwise.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means the Series A Preferred Stock, the Series B Preferred Stock, the Series B-1 Preferred Stock, Series C Preferred Stock of the Company, par value $.0001 per share, Series D-1 Preferred Stock of the Company, par value $.0001 per share, and Series D-2 Preferred Stock of the Company, par value $.0001 per share.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w:t>
      </w:r>
      <w:r>
        <w:rPr>
          <w:rFonts w:ascii="Times New Roman" w:cs="Times New Roman" w:eastAsia="Times New Roman" w:hAnsi="Times New Roman"/>
          <w:sz w:val="18"/>
          <w:szCs w:val="18"/>
          <w:color w:val="auto"/>
        </w:rPr>
        <w:t>” means any product that is being researched, tested, developed, commercialized, manufactured, sold or distributed by or behalf of the Company Group and any product with respect to which the Company Group has the right to receive payment.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the Company Common Stock, the Company Preferred Stock, the Company Options and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Securityholder</w:t>
      </w:r>
      <w:r>
        <w:rPr>
          <w:rFonts w:ascii="Times New Roman" w:cs="Times New Roman" w:eastAsia="Times New Roman" w:hAnsi="Times New Roman"/>
          <w:sz w:val="18"/>
          <w:szCs w:val="18"/>
          <w:color w:val="auto"/>
        </w:rPr>
        <w:t>” means each Person who holds Company Securities.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means, at any given time, the holders of Company Capital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each warrant to purchase shares of Company Capital Stock that is outstanding and unexercised (in whole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any information, knowledge or data concerning the businesses and affairs of the Company Group, or any suppliers, customers or agents of the Company Group that is not already generally available to the public, including any non-public Intellectual Property.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Confidentiality Agreement dated as of November 29, 2021, by and between the Company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Workers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the Leases and all other contracts, agreements, leases (including equipment leases, car leases and capital leases), licenses, and similar instruments, oral or written, in each case, that is legally binding.</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Copyleft Licenses</w:t>
      </w:r>
      <w:r>
        <w:rPr>
          <w:rFonts w:ascii="Times New Roman" w:cs="Times New Roman" w:eastAsia="Times New Roman" w:hAnsi="Times New Roman"/>
          <w:sz w:val="18"/>
          <w:szCs w:val="18"/>
          <w:color w:val="auto"/>
        </w:rPr>
        <w:t>” means all licenses or other Contracts to Software that require, as a condition of use, modification, or distribution of such Software that other Software or technology incorporated into, derived from, or distributed with such Software (a) be disclosed or distributed in source code form, (b) be licensed or made available for the purpose of making derivative works, or (c) be redistributable at no or minimal charge.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has the meaning set forth in the definition of “Intellectual Property.”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all applicable Laws in any applicable jurisdiction relating to the Processing, privacy, security, or protection of Personal Information, and all regulations or guidance issued thereunder.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Domain Names</w:t>
      </w:r>
      <w:r>
        <w:rPr>
          <w:rFonts w:ascii="Times New Roman" w:cs="Times New Roman" w:eastAsia="Times New Roman" w:hAnsi="Times New Roman"/>
          <w:sz w:val="18"/>
          <w:szCs w:val="18"/>
          <w:color w:val="auto"/>
        </w:rPr>
        <w:t>” has the meaning set forth in the definition of “Intellectual Property.”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Domesticated Parent Common Share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Domesticated Parent Warrant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the Recitals.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Election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Participants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Period</w:t>
      </w:r>
      <w:r>
        <w:rPr>
          <w:rFonts w:ascii="Times New Roman" w:cs="Times New Roman" w:eastAsia="Times New Roman" w:hAnsi="Times New Roman"/>
          <w:sz w:val="18"/>
          <w:szCs w:val="18"/>
          <w:color w:val="auto"/>
        </w:rPr>
        <w:t>” means the period of time beginning immediately after the Closing until the fifth anniversary of the Closing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Date Extension Election</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means the Company’s 2018 Stock Incentive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entity, trade or business that is, or was at the relevant time, a member of a group described in Section 414(b), (c), (m) or (o) of the Code or Section 4001(b)(1) of ERISA that includes or included the Company Group, or that is, or was at the relevant time, a member of the same “controlled group” as the Company Group pursuant to Section 4001(a)(14) of ERISA.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means four hundred and sixty-five thousandths (0.465).</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Matter</w:t>
      </w:r>
      <w:r>
        <w:rPr>
          <w:rFonts w:ascii="Times New Roman" w:cs="Times New Roman" w:eastAsia="Times New Roman" w:hAnsi="Times New Roman"/>
          <w:sz w:val="18"/>
          <w:szCs w:val="18"/>
          <w:color w:val="auto"/>
        </w:rPr>
        <w:t>” means any one or more of the following: (a) general economic or political conditions; (b) conditions generally affecting the industries in which such Person or its Subsidiaries operates; (c) 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 Additional Agreement or any action or omission (A) in the case of the Company, taken by the Company or its Subsidiaries with the written consent or at the request of Parent or (B) in the case of Parent, taken by Parent or Merger Sub with the written consent or at the request of the Company; (f) (i) any changes in applicable Laws (including in connection with the COVID-19 pandemic) or accounting rules (including U.S. GAAP) or the enforcement, implementation or interpretation thereof and (ii) in the case of Parent, new pronouncements or interpretations by the SEC or other U.S. federal regulators arising after the date hereof with respect to prior accounting rules; (g) the announcement, pendency or completion of the transactions contemplated by this Agreement, including losses to the extent directly resulting therefrom of employees, customers, suppliers, distributors or others having relationships with such Person;</w:t>
      </w:r>
    </w:p>
    <w:p>
      <w:pPr>
        <w:spacing w:after="0" w:line="5" w:lineRule="exact"/>
        <w:rPr>
          <w:sz w:val="20"/>
          <w:szCs w:val="20"/>
          <w:color w:val="auto"/>
        </w:rPr>
      </w:pPr>
    </w:p>
    <w:p>
      <w:pPr>
        <w:jc w:val="both"/>
        <w:ind w:firstLine="8"/>
        <w:spacing w:after="0" w:line="252"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natural or man-made disaster, acts of God or pandemics, including the COVID-19 pandemic, or the worsening thereof; (i) any failure by a party to meet any internal or published projections, forecasts or revenue or earnings predictions (it being understood that the facts or occurrences giving rise or contributing to such failure that are not otherwise excluded from the definition of a “Material Adverse Effect” may be taken into account in determining whether there has been a Material Adverse Effect);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exclusions provided in the foregoing clauses (a) through (d), clause (f) and clause (h) shall not apply to the extent that such Person is disproportionately affected by any such exclusions relative to other participants in the industry in which such Person, as applicable, operates.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Meeting</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Proposal</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Proxy Statement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Earnout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Milestone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common law fraud under Delaware law (excluding constructive fraud, equitable fraud and negligent misrepresentation) by a party to this Agreement.</w:t>
      </w:r>
    </w:p>
    <w:p>
      <w:pPr>
        <w:spacing w:after="0" w:line="160" w:lineRule="exact"/>
        <w:rPr>
          <w:sz w:val="20"/>
          <w:szCs w:val="20"/>
          <w:color w:val="auto"/>
        </w:rPr>
      </w:pPr>
    </w:p>
    <w:p>
      <w:pPr>
        <w:jc w:val="both"/>
        <w:ind w:right="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Company Shares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without duplication, of all shares of Company Common Stock held by all Earnout Participants that are issued and outstanding immediately prior to the Effective Time assuming consummation of the Preferred Stock Conversion (including shares of Company Common Stock ultimately received by holders of Company Warrants by operation of Section 4.2(b)).</w:t>
      </w:r>
    </w:p>
    <w:p>
      <w:pPr>
        <w:spacing w:after="0" w:line="17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shall mean any material, emission, chemical, substance or waste that has been designated by any Authority to be radioactive, toxic, hazardous, a pollutant or a contaminant.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 Activity</w:t>
      </w:r>
      <w:r>
        <w:rPr>
          <w:rFonts w:ascii="Times New Roman" w:cs="Times New Roman" w:eastAsia="Times New Roman" w:hAnsi="Times New Roman"/>
          <w:sz w:val="18"/>
          <w:szCs w:val="18"/>
          <w:color w:val="auto"/>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means all applicable Laws and Orders applicable to the research, development, testing, production, manufacture, pricing, marketing, promotion, sale, distribution, coverage or reimbursement of the Company Products, including: (a) the Federal Food, Drug and Cosmetic Act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(21 U.S.C. § 301) and FDA implementing regulations; (b) any comparable foreign Laws for the foregoing; (c) the federal Anti-Kickback Statute (42 U.S.C. §1320a-7(b)) and the regulations promulgated thereunder, the Federal Health Care Fraud law (18 U.S.C. § 1347), the Federal Civil Monetary Penalties Law (42 U.S.C. §1320a-7(a)), the Physician Payments Sunshine Act (42 U.S.C. §1320a-7(h)), the Exclusion Law (42 U.S.C. §1320a-7), the Criminal False Statements Law (42 U.S.C. §1320a-7b(a), Stark Law (42 U.S.C. §1395nn), the Federal False Claims Act (31 U.S.C. §§3729 et seq. 42 U.S.C. §1320a-7b(a)), HIPAA, and any comparable state or local Laws; (d) the applicable requirements of Medicare, Medicaid and other Authority healthcare programs, including the Veterans Health Administration and U.S. Department of Defense healthcare and contracting programs, and the analogous laws of any federal, state, local, or foreign jurisdiction applicable to the Company Group; (e) all applicable Laws governing the privacy, security, integrity, accuracy, transmission, storage, or other protection of health information; (f) applicable state licensing, disclosure and transparency reporting requirements; and (g) any Laws of Japan, the European Union, member states of the European Union, and any other country in which the Company Products are tested, manufactured, marketed or distributed, or in which country the Company does business, which Laws are similar, analogous, or comparable to any item set forth in clauses (a) through (f) above.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(42 U.S.C. §§1320d et seq.), as amended by the Health Information Technology for Economic and Clinical Health Act of 2009 (HITECH Act).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 all obligations of such Person for borrowed money,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consistent with past practices),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 (f) all obligations of such Person under leases required to be accounted for as capital leases under U.S. GAAP, (g) all guarantees by such Person of the Indebtedness of another Person, (h) all liability of such Person with respect to any hedging obligations, including interest rate or currency exchange swaps, collars, caps or similar hedging obligations, and (i) any agreement to incur any of the same.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Earnout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Milestone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4.7(a)</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of the worldwide intellectual property rights and proprietary rights, whether registered, unregistered or registrable, to the extent recognized in a particular jurisdiction, including such rights associated with any of the following: discoveries, inventions, ideas, technology, know-how, trade secrets, and Software, in each case whether or not patentable or copyrightable (including proprietary or confidential information, systems, methods, processes, procedures, practices, algorithms, formulae, techniques, knowledge, results, protocols, models, designs, drawings, specifications, materials, technical data or information, and other information related to the development, marketing, pricing, distribution, cost, sales and manufacturing), and other rights in confidential information and know-how (collectively,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trade names, trademarks, service marks, trade dress, product configurations, other indications of origin, registrations thereof or applications for registration therefor, together with the goodwill associated with the foregoing (collectively,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patents, patent applications, utility models, industrial designs, supplementary protection certificates, and certificates of inventions, including all re-issues, continuations, divisionals, continuations-in-part, re-examinations, renewals, counterparts, extensions, and validations thereof (“collectively,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works of authorship, copyrights, copyrightable materials, copyright registrations and applications for copyright registration (collectively,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domain names and URLs (collectively, “</w:t>
      </w:r>
      <w:r>
        <w:rPr>
          <w:rFonts w:ascii="Times New Roman" w:cs="Times New Roman" w:eastAsia="Times New Roman" w:hAnsi="Times New Roman"/>
          <w:sz w:val="18"/>
          <w:szCs w:val="18"/>
          <w:u w:val="single" w:color="auto"/>
          <w:color w:val="auto"/>
        </w:rPr>
        <w:t>Domain Names</w:t>
      </w:r>
      <w:r>
        <w:rPr>
          <w:rFonts w:ascii="Times New Roman" w:cs="Times New Roman" w:eastAsia="Times New Roman" w:hAnsi="Times New Roman"/>
          <w:sz w:val="18"/>
          <w:szCs w:val="18"/>
          <w:color w:val="auto"/>
        </w:rPr>
        <w:t>”), social media accounts; and equivalent intellectual property rights to any of the foregoing.</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has the meaning set forth in the recitals to this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Commitment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Contracts</w:t>
      </w:r>
      <w:r>
        <w:rPr>
          <w:rFonts w:ascii="Times New Roman" w:cs="Times New Roman" w:eastAsia="Times New Roman" w:hAnsi="Times New Roman"/>
          <w:sz w:val="18"/>
          <w:szCs w:val="18"/>
          <w:color w:val="auto"/>
        </w:rPr>
        <w:t>” means, collectively, any and all Contracts to which any member of the Company Group is a party, under which such Company Group (a) is granted a right (including option rights and rights of first offer, first refusal, first negotiation, etc.) in or to any Intellectual Property of a third Person, (b) grants a right (including option rights and rights of first offer, first refusal, first negotiation, etc.) to a third Person in or to any Intellectual Property owned or purported to be owned by the Company Group or (c) has entered into an agreement not to assert or sue with respect to any Intellectual Property (including settlement agreements and co-existence arrangements), in each case other than (i) “shrink wrap” or other licenses for generally commercially available software (including Publicly Available Software) or hosted services, (ii) customer, distributor or channel partner Contracts, (iii) Contracts with the Company Group’s employees, consultants, service providers, or contractors entered into in the ordinary course of business consistent with past practices, and (iv) customary non-disclosure agreements entered into in the ordinary course of business consistent with past practices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initial public offering of Parent pursuant to a prospectus dated August 3, 2020.</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the Company’s Knowledge</w:t>
      </w:r>
      <w:r>
        <w:rPr>
          <w:rFonts w:ascii="Times New Roman" w:cs="Times New Roman" w:eastAsia="Times New Roman" w:hAnsi="Times New Roman"/>
          <w:sz w:val="18"/>
          <w:szCs w:val="18"/>
          <w:color w:val="auto"/>
        </w:rPr>
        <w:t>” means the actual knowledge after reasonable inquiry of David P. Hochman, Chief Executive Officer; Darren R. Sherman, President and Chief Operating Officer; Michael D. Kaswan, Chief Financial Officer; Yuval Mika, General Manager and Chief Technology Officer, Bioelectronic Therapies; and Dennis Donohoe, Chief Medical Officer;.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Parent’s Knowledge</w:t>
      </w:r>
      <w:r>
        <w:rPr>
          <w:rFonts w:ascii="Times New Roman" w:cs="Times New Roman" w:eastAsia="Times New Roman" w:hAnsi="Times New Roman"/>
          <w:sz w:val="18"/>
          <w:szCs w:val="18"/>
          <w:color w:val="auto"/>
        </w:rPr>
        <w:t>” means the actual knowledge after reasonable inquiry of Roderick Wong, President and Chief Executive Officer; and Naveen Yalamanchi, Chief Financial Officer.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domestic or foreign, federal, state, municipality or local law, statute, ordinance, code, rule, or regulation.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means, collectively, the leases described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pledge, charge, claim, security interest or encumbrance of any kind in respect of such property or asset, and any conditional sale or voting agreement or proxy, including any agreement to give any of the foregoing.</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with respect to any Person, any fact, effect, event, development, change, or occurrence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together with one or more other contemporaneous Effects, (a) has or would reasonably be expected to have a materially adverse effect on the financial condition, assets, liabilities or results of operations of such Person; or (b) prevents or materially impairs such Person’s ability to consummate the Merger and the other transactions contemplated by this Agreement or the Additional Agreements;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a Material Adverse Effect in respect of clause (a) of the definition hereof shall not be deemed to include Effects (and solely to the extent of such Effects) resulting from an Excluded Matter.</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“Material Contracts” shall not include any Contracts that are also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set forth in the recitals to this Agreement.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 Shares</w:t>
      </w:r>
      <w:r>
        <w:rPr>
          <w:rFonts w:ascii="Times New Roman" w:cs="Times New Roman" w:eastAsia="Times New Roman" w:hAnsi="Times New Roman"/>
          <w:sz w:val="18"/>
          <w:szCs w:val="18"/>
          <w:color w:val="auto"/>
        </w:rPr>
        <w:t xml:space="preserve">” means the aggregate number of Domesticated Parent Common Shares to be issued pursuant to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Events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Available Cash Condition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decree, order, judgment, writ, award, injunction, stipulation, determination, award, rule or consent of or by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OSHA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any filings to be made by Parent or Parent required under the Exchange Act, Securities Act or any other United States federal, foreign or blue sky laws, other than the SEC Statement and the other Offer Documents.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Parent Expenses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Bylaws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Charter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Cash</w:t>
      </w:r>
      <w:r>
        <w:rPr>
          <w:rFonts w:ascii="Times New Roman" w:cs="Times New Roman" w:eastAsia="Times New Roman" w:hAnsi="Times New Roman"/>
          <w:sz w:val="18"/>
          <w:szCs w:val="18"/>
          <w:color w:val="auto"/>
        </w:rPr>
        <w:t xml:space="preserve">” means, without duplication, (a) the amount of cash available in the Trust Account immediately prior to the Effective Time after deducting the amount required to satisfy the Parent Redemption Amount and the Parent Closing Indebtedness but before payment of any Outstanding Parent Expenses,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amounts actually received by Parent in respect of the Sponsor Commitment,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amount of cash remaining in Parent’s working capital account,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(d) amounts actually received by Parent, or otherwise preserved in the Trust Account, in respect of the Investor Commitment.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Indebtedness</w:t>
      </w:r>
      <w:r>
        <w:rPr>
          <w:rFonts w:ascii="Times New Roman" w:cs="Times New Roman" w:eastAsia="Times New Roman" w:hAnsi="Times New Roman"/>
          <w:sz w:val="18"/>
          <w:szCs w:val="18"/>
          <w:color w:val="auto"/>
        </w:rPr>
        <w:t>” means the amount of Indebtedness of the Parent Parties immediately prior the Effective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Disclosure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Fundamental Representations</w:t>
      </w:r>
      <w:r>
        <w:rPr>
          <w:rFonts w:ascii="Times New Roman" w:cs="Times New Roman" w:eastAsia="Times New Roman" w:hAnsi="Times New Roman"/>
          <w:sz w:val="18"/>
          <w:szCs w:val="18"/>
          <w:color w:val="auto"/>
        </w:rPr>
        <w:t xml:space="preserve">” means the representations and warranties of Parent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(Corporate Existence and Power),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(Corporate Authorization), and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(Finders’ Fees).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Ordinary Shares</w:t>
      </w:r>
      <w:r>
        <w:rPr>
          <w:rFonts w:ascii="Times New Roman" w:cs="Times New Roman" w:eastAsia="Times New Roman" w:hAnsi="Times New Roman"/>
          <w:sz w:val="18"/>
          <w:szCs w:val="18"/>
          <w:color w:val="auto"/>
        </w:rPr>
        <w:t>” means the ordinary shares of Parent, par value $0.0001 per share.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Shareholder Redemption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Shareholder</w:t>
      </w:r>
      <w:r>
        <w:rPr>
          <w:rFonts w:ascii="Times New Roman" w:cs="Times New Roman" w:eastAsia="Times New Roman" w:hAnsi="Times New Roman"/>
          <w:sz w:val="18"/>
          <w:szCs w:val="18"/>
          <w:color w:val="auto"/>
        </w:rPr>
        <w:t>” means a shareholder of Parent.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Shareholder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Support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Warrants</w:t>
      </w:r>
      <w:r>
        <w:rPr>
          <w:rFonts w:ascii="Times New Roman" w:cs="Times New Roman" w:eastAsia="Times New Roman" w:hAnsi="Times New Roman"/>
          <w:sz w:val="18"/>
          <w:szCs w:val="18"/>
          <w:color w:val="auto"/>
        </w:rPr>
        <w:t>” means each warrant issued to the Sponsor in a private placement at the time of the consummation of the IPO at a price of $1.00 per warrant, entitling the holder thereof to purchase one Parent Ordinary Share at a price of $11.50 per ordinary share, subject to adjustment as provided therein.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each license, franchise, permit, order, approval or other similar authorization required to be obtained and maintained by the Company under applicable Law to carry out or otherwise operate the Business.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 all defects, exceptions, restrictions, easements, rights of way and encumbrances disclosed in policies of title insurance which have been made available to Parent; (b) mechanics’, carriers’, workers’, repairers’ and similar statutory Liens arising or incurred in the ordinary course of business consistent with past practices for amounts (i) that are not delinquent, (ii) that are not material to the business, operations and financial condition of the Company and/or any of its Subsidiaries so encumbered, either individually or in the aggregate, and (iii) not resulting from a breach, default or violation by the Company Group of any Contract or Law; (c) liens for Taxes not yet due and payable or which are being contested in good faith by appropriate proceedings (and for which adequate accruals or reserves have been established in accordance with U.S. GAAP); and (d) the Liens set forth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 any data or information that, alone or in combination with other data or information identifies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or relates to an individual natural Person, or such Person’s vehicle, browser or device); and (b) any other data or information that constitutes personal data, personal health information, protected health information, personally identifiable information, personal information or similar defined term under any Data Protection Law or Healthcare Law.</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each “employee benefit plan” within the meaning of Section 3(3) of ERISA and all other compensation and benefits plans, policies, programs, arrangements or payroll practices, including multiemployer plans within the meaning of Section 3(37) of ERISA, and each other stock purchase, stock option, restricted stock, severance, retention, employment (other than any employment offer letter in such form as previously provided to Parent that is terminable “at will” without any contractual obligation on the part of the Company Group to make any severance, termination, change of control, or similar payment), consulting, change-of-control, collective bargaining, bonus, incentive, deferred compensation, employee loan, fringe benefit and other benefit plan, agreement, program, policy, commitment or other arrangement, whether or not subject to ERISA (including any related funding mechanism now in effect or required in the future), whether formal or informal, oral or written, in each case, that is sponsored, maintained, contributed or required to be contributed to by the Company Group, or under which the Company Group has any current or potential liability.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 Conversion</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Processed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 performed upon Personal Information or sets of Personal Information, whether or not by automated means, such as collection, recording, organization, structuring, storage, adaptation or alteration, retrieval, consultation, use, disclosure by transmission, dissemination, or otherwise making available, alignment or combination, restriction, erasure, or destruction.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Portion</w:t>
      </w:r>
      <w:r>
        <w:rPr>
          <w:rFonts w:ascii="Times New Roman" w:cs="Times New Roman" w:eastAsia="Times New Roman" w:hAnsi="Times New Roman"/>
          <w:sz w:val="18"/>
          <w:szCs w:val="18"/>
          <w:color w:val="auto"/>
        </w:rPr>
        <w:t>” means, with respect to each Earnout Participant as of immediately prior to the Effective Time, the quotient (expressed as a percentage) of (a) aggregate number of shares of Company Common Stock that are held by such Company Stockholder assuming consummation of the Preferred Stock Conversion (including any shares of Company Common Stock ultimately received by such holder by operation of Section 4.2(b)); divided by (b) the Fully Diluted Company Shares.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Publicly Available Software</w:t>
      </w:r>
      <w:r>
        <w:rPr>
          <w:rFonts w:ascii="Times New Roman" w:cs="Times New Roman" w:eastAsia="Times New Roman" w:hAnsi="Times New Roman"/>
          <w:sz w:val="18"/>
          <w:szCs w:val="18"/>
          <w:color w:val="auto"/>
        </w:rPr>
        <w:t>” means each of any Software that is distributed as free software, “copyleft,” open source software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Linux), or under similar licensing and distribution models, including any of the following: (a) the GNU General Public License (GPL) or Lesser/Library GPL (LGPL), (b) the Artistic License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PERL), (c) the Mozilla Public License, (d) the Netscape Public License, (e) the Sun Community Source License (SCSL), (f) the Sun Industry Source License (SISL) and (g) the Apache Server License, including for the avoidance of doubt all Software licensed under a Copyleft License.</w:t>
      </w:r>
    </w:p>
    <w:p>
      <w:pPr>
        <w:spacing w:after="0" w:line="18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Owned IP</w:t>
      </w:r>
      <w:r>
        <w:rPr>
          <w:rFonts w:ascii="Times New Roman" w:cs="Times New Roman" w:eastAsia="Times New Roman" w:hAnsi="Times New Roman"/>
          <w:sz w:val="18"/>
          <w:szCs w:val="18"/>
          <w:color w:val="auto"/>
        </w:rPr>
        <w:t>” means all Intellectual Property constituting Company Owned IP that is the subject of a registration or an application for registration, including issued patents and patent applications.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 party’s officers, directors, Affiliates, managers, consultants, employees, representatives and agents.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Option Shares</w:t>
      </w:r>
      <w:r>
        <w:rPr>
          <w:rFonts w:ascii="Times New Roman" w:cs="Times New Roman" w:eastAsia="Times New Roman" w:hAnsi="Times New Roman"/>
          <w:sz w:val="18"/>
          <w:szCs w:val="18"/>
          <w:color w:val="auto"/>
        </w:rPr>
        <w:t>” means the aggregate number of shares of Company Common Stock issuable upon exercise of all Company Options (whether Vested Company Options or Unvested Company Options).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Warrant Shares</w:t>
      </w:r>
      <w:r>
        <w:rPr>
          <w:rFonts w:ascii="Times New Roman" w:cs="Times New Roman" w:eastAsia="Times New Roman" w:hAnsi="Times New Roman"/>
          <w:sz w:val="18"/>
          <w:szCs w:val="18"/>
          <w:color w:val="auto"/>
        </w:rPr>
        <w:t>” means the aggregate number of shares of Company Preferred Stock (on an as converted to Company Common Stock basis) and, if any, Company Common Stock issuable upon exercise of all Company Warrants outstanding as of immediately prior to the Effective Time.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RTW</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S-4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SBA</w:t>
      </w:r>
      <w:r>
        <w:rPr>
          <w:rFonts w:ascii="Times New Roman" w:cs="Times New Roman" w:eastAsia="Times New Roman" w:hAnsi="Times New Roman"/>
          <w:sz w:val="18"/>
          <w:szCs w:val="18"/>
          <w:color w:val="auto"/>
        </w:rPr>
        <w:t>” means the Small Business Administration.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Statement</w:t>
      </w:r>
      <w:r>
        <w:rPr>
          <w:rFonts w:ascii="Times New Roman" w:cs="Times New Roman" w:eastAsia="Times New Roman" w:hAnsi="Times New Roman"/>
          <w:sz w:val="18"/>
          <w:szCs w:val="18"/>
          <w:color w:val="auto"/>
        </w:rPr>
        <w:t>” means the Form S-4, including the Proxy Statement, whether in preliminary or definitive form, and any amendments or supplements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Conversion</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means the Series A Preferred Stock of the Company, par value $.0001 per share.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means the Series B Preferred Stock of the Company, par value $.0001 per share.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B-2 Preferred Stock</w:t>
      </w:r>
      <w:r>
        <w:rPr>
          <w:rFonts w:ascii="Times New Roman" w:cs="Times New Roman" w:eastAsia="Times New Roman" w:hAnsi="Times New Roman"/>
          <w:sz w:val="18"/>
          <w:szCs w:val="18"/>
          <w:color w:val="auto"/>
        </w:rPr>
        <w:t>” means the Series B-1 Preferred Stock of the Company, par value $.0001 per share.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computer software, programs, and databases (including development tools, library functions, and compilers) in any form, including in or as Internet websites, web content, links, source code, object code, operating systems, database management code, utilities, graphical user interfaces, menus, images, icons, forms, methods of processing, software engines, platforms, and data formats, together with all versions, updates, corrections, enhancements and modifications thereof, and all related specifications, documentation, developer notes, comments, and annotations.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HSAC 2 Holdings, LLC, a Delaware limited liability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Commitment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means a special purpose acquisition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Standards Setting Body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each entity of which at least fifty percent (50%) of the capital stock or other equity or voting securities are Controlled or owned, directly or indirectly, by such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Personal Property</w:t>
      </w:r>
      <w:r>
        <w:rPr>
          <w:rFonts w:ascii="Times New Roman" w:cs="Times New Roman" w:eastAsia="Times New Roman" w:hAnsi="Times New Roman"/>
          <w:sz w:val="18"/>
          <w:szCs w:val="18"/>
          <w:color w:val="auto"/>
        </w:rPr>
        <w:t>” means all tangible personal property and interests therein, including machinery, computers and accessories, furniture, office equipment, communications equipment, automobiles, laboratory equipment and other equipment owned or leased by the Company Group and other tangible property.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U.S. federal, state or local or non-U.S. tax, charge, fee, levy, custom, duty, deficiency, or other assessment of any 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together with any interest, penalty, additions to tax or additional amount imposed by any Taxing Authority with respect thereto.</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Internal Revenue Service and any other Authority responsible for the collection, assessment or imposition of any Tax or the administration of any Law relating to any Tax.</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has the meaning set forth in the definition of “Intellectual Property.”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has the meaning set forth in the definition of “Intellectual Property.”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Days</w:t>
      </w:r>
      <w:r>
        <w:rPr>
          <w:rFonts w:ascii="Times New Roman" w:cs="Times New Roman" w:eastAsia="Times New Roman" w:hAnsi="Times New Roman"/>
          <w:sz w:val="18"/>
          <w:szCs w:val="18"/>
          <w:color w:val="auto"/>
        </w:rPr>
        <w:t>” means (a) for so long as Domesticated Parent Common Shares are listed or admitted for trading on Nasdaq or any other national securities exchange, days on which such securities exchange is open for business; (b) when and if the Domesticated Parent Common Shares are quoted on a system of automated dissemination of quotations of securities prices, days on which trades may be made on such system; or (c) if the Domesticated Parent Common Shares are not listed or admitted to trading on any national securities exchange or quoted on a system of automated dissemination of quotations of securities prices, days on which Domesticated Parent Common Shares are traded regular way in the over-the- counter market and for which a closing bid and a closing asked price for Domesticated Parent Common Shares are available.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means U.S. generally accepted accounting principles, consistently applied.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Option</w:t>
      </w:r>
      <w:r>
        <w:rPr>
          <w:rFonts w:ascii="Times New Roman" w:cs="Times New Roman" w:eastAsia="Times New Roman" w:hAnsi="Times New Roman"/>
          <w:sz w:val="18"/>
          <w:szCs w:val="18"/>
          <w:color w:val="auto"/>
        </w:rPr>
        <w:t>” means each Company Option outstanding immediately prior to the Effective Time that is not a Vested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Option.</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Option</w:t>
      </w:r>
      <w:r>
        <w:rPr>
          <w:rFonts w:ascii="Times New Roman" w:cs="Times New Roman" w:eastAsia="Times New Roman" w:hAnsi="Times New Roman"/>
          <w:sz w:val="18"/>
          <w:szCs w:val="18"/>
          <w:color w:val="auto"/>
        </w:rPr>
        <w:t>” means each Company Option outstanding immediately prior to the Effective Time that is vested in accordance with its terms as of immediately prior to the Effective Time or will vest solely as a result of the consummation of the Merger.</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security as of any date(s), the dollar volume-weighted average price for such security on the principal securities exchange or securities market on which such security is then traded during the period beginning at 9:30:01 a.m., New York time, and ending at 4:00:00 p.m., New York time, as reported by Bloomberg through its “HP” function (set to weighted average)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by OTC Markets Group Inc. If the VWAP cannot be calculated for such security on such date(s) on any of the foregoing bases, the VWAP of such security on such date(s) shall be the fair market value per share on such date(s) as reasonably determined by Parent.</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party’s breach of any representation, warranty, covenant or agreement set forth in this Agreement that is a consequence of an intentional act or failure to act undertaken by the breaching party with the knowledge that the taking of such act, or failure to act, or making of such representation or warranty, would result in such breach.</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8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right="20" w:firstLine="1304"/>
        <w:spacing w:after="0" w:line="282" w:lineRule="auto"/>
        <w:tabs>
          <w:tab w:leader="none" w:pos="197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U.S. GAAP as consistently applied heretofore by the Company. Any reference in this Agreement to a Person’s directors shall include any member of such Person’s governing body and any reference in this Agreement to a Person’s officers shall include any Person filling a substantially similar position for such Person. Any reference in this Agreement or any Additional Agreement to a Person’s shareholders or stockholders shall include any applicable owners of the equity interests of such Person, in whatever form. Any reference to the “members of the Company Group” and similar constructs refers to the Company and its Subsidiaries, unless the context requires otherwise.</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any reference to any agreement (including this Agreement), instrument, or other document includes all schedules, exhibits, or other attachments referred to therein,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numbered schedule means the same-numbered section of the applicable disclosure schedules. Any reference in a schedule contained in the disclosure schedules delivered by a party hereunder shall be deemed to be an exception to (or, as applicable, a disclosure for purposes of) the applicable representations and warranties (or applicable covenants) that are contained in the section or subsection of this Agreement that corresponds to such schedule and any other representations and warranties of such party that are contained in this Agreement to which the relevance of such item thereto is reasonably apparent on its face. The mere inclusion of an item in a schedule as an exception to (or, as applicable, a disclosure for purposes of) a representation or warranty shall not be deemed an admission that such item represents a material exception or material fact, event or circumstance or that such item would have a Material Adverse Effect or establish any standard of materiality to define further the meaning of such terms for purposes of this Agreement. Nothing in the disclosure schedules constitutes an admission of any liability or obligation of the disclosing party to any third party or an admission to any third party, including any Authority, against the interest of the disclosing party, including any possible breach of violation of any Contract or Law. Summaries of any written document in the disclosure schedules do not purport to be complete and are qualified in their entirety by the written document itself. The disclosures schedules and the information and disclosures contained therein are intended only to qualify and limit the representations and warranties of the parties contained in this Agreement and shall not be deemed to expand in any way the scope or effect of any of such representations and warranties.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1304"/>
        <w:spacing w:after="0" w:line="257" w:lineRule="auto"/>
        <w:tabs>
          <w:tab w:leader="none" w:pos="185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Contract, document, certificate or instrument is represented and warranted to by the Company to be given, delivered, provided or made available by the Company, such Contract, document, certificate or instrument shall be deemed to have been given, delivered, provided and made available to Parent or its Representatives, if such Contract, document, certificate or instrument shall have been posted not later than two</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date of this Agreement to the electronic data site maintained on behalf of the Company for the benefit of the Parent and its Representatives and the Parent and its Representatives have been given access to the electronic folders containing such information.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DOMESTICATION</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Subject to receipt of the Parent Shareholder Approval, prior to the Effective Time, Parent shall cause the Domestication to become effective, including by (a) filing with the Delaware Secretary of State a certificate of domestication with respect to the Domestication, in form and substance reasonably acceptable to the parties (the “</w:t>
      </w:r>
      <w:r>
        <w:rPr>
          <w:rFonts w:ascii="Times New Roman" w:cs="Times New Roman" w:eastAsia="Times New Roman" w:hAnsi="Times New Roman"/>
          <w:sz w:val="18"/>
          <w:szCs w:val="18"/>
          <w:u w:val="single" w:color="auto"/>
          <w:color w:val="auto"/>
        </w:rPr>
        <w:t>Certificate of Domestication</w:t>
      </w:r>
      <w:r>
        <w:rPr>
          <w:rFonts w:ascii="Times New Roman" w:cs="Times New Roman" w:eastAsia="Times New Roman" w:hAnsi="Times New Roman"/>
          <w:sz w:val="18"/>
          <w:szCs w:val="18"/>
          <w:color w:val="auto"/>
        </w:rPr>
        <w:t>”), together with the Parent Certificate of Incorporation, in each case, in accordance with the provisions thereof and Section 388 of the DGCL, (b) completing and making and procuring all those filings required to be made with the Registrar of Companies of the Cayman Islands (the “</w:t>
      </w:r>
      <w:r>
        <w:rPr>
          <w:rFonts w:ascii="Times New Roman" w:cs="Times New Roman" w:eastAsia="Times New Roman" w:hAnsi="Times New Roman"/>
          <w:sz w:val="18"/>
          <w:szCs w:val="18"/>
          <w:u w:val="single" w:color="auto"/>
          <w:color w:val="auto"/>
        </w:rPr>
        <w:t>Cayman Registrar</w:t>
      </w:r>
      <w:r>
        <w:rPr>
          <w:rFonts w:ascii="Times New Roman" w:cs="Times New Roman" w:eastAsia="Times New Roman" w:hAnsi="Times New Roman"/>
          <w:sz w:val="18"/>
          <w:szCs w:val="18"/>
          <w:color w:val="auto"/>
        </w:rPr>
        <w:t>”) in connection with the Domestication, and (c) obtaining a certificate of de-registration from the Cayman Registrar. In accordance with applicable Law, the Certificate of Domestication shall provide that at the effective time of the Domestication, by virtue of the Domestication, and without any action on the part of any Parent Shareholder, (i) each then issued and outstanding Parent Ordinary Share will convert automatically, on a one-for-one basis, into a share of common stock par value $0.0001, per share of Parent (a “</w:t>
      </w:r>
      <w:r>
        <w:rPr>
          <w:rFonts w:ascii="Times New Roman" w:cs="Times New Roman" w:eastAsia="Times New Roman" w:hAnsi="Times New Roman"/>
          <w:sz w:val="18"/>
          <w:szCs w:val="18"/>
          <w:u w:val="single" w:color="auto"/>
          <w:color w:val="auto"/>
        </w:rPr>
        <w:t>Domesticated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 Common Share</w:t>
      </w:r>
      <w:r>
        <w:rPr>
          <w:rFonts w:ascii="Times New Roman" w:cs="Times New Roman" w:eastAsia="Times New Roman" w:hAnsi="Times New Roman"/>
          <w:sz w:val="18"/>
          <w:szCs w:val="18"/>
          <w:color w:val="auto"/>
        </w:rPr>
        <w:t>”); and (ii) each then issued and outstanding Parent Warrant will convert automatically into a warrant to acquire one Domesticated Parent Common Share (a “</w:t>
      </w:r>
      <w:r>
        <w:rPr>
          <w:rFonts w:ascii="Times New Roman" w:cs="Times New Roman" w:eastAsia="Times New Roman" w:hAnsi="Times New Roman"/>
          <w:sz w:val="18"/>
          <w:szCs w:val="18"/>
          <w:u w:val="single" w:color="auto"/>
          <w:color w:val="auto"/>
        </w:rPr>
        <w:t>Domesticated Parent Warrant</w:t>
      </w:r>
      <w:r>
        <w:rPr>
          <w:rFonts w:ascii="Times New Roman" w:cs="Times New Roman" w:eastAsia="Times New Roman" w:hAnsi="Times New Roman"/>
          <w:sz w:val="18"/>
          <w:szCs w:val="18"/>
          <w:color w:val="auto"/>
        </w:rPr>
        <w:t>”). Each Parent Warrant will continue to have, and be subject to, the same terms and conditions set forth in the warrant agreement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dated as of August 6, 2020, by and between Parent and Sponsor. For U.S. federal income tax purposes, the Domestication is intended to constitute a “reorganization” within the meaning of Section 368(a) of the Code. Parent hereby (i) adopts this Agreement insofar as it relates to the Domestication as a “plan of reorganization” within the meaning of Section 1.368-2(g) of the United States Treasury Regulations, (ii) agrees to file and retain such information as shall be required under Section 1.368-3 of the United States Treasury Regulations with respect to the Domestication, and (iii) agrees to file all Tax and other informational returns on a basis consistent with such characterization, except if otherwise required by a “determination” within the meaning of Code Section 1313 (or pursuant to any similar provision of applicable state, local or foreign Law).</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set forth in this Agreement, and in accordance with the DGCL, on the Closing Date, immediately after the Domestication, pursuant to an appropriate certificate of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Merger Sub shall be merged with and into the Company, the separate corporate existence of Merger Sub shall thereupon cease, the Company shall be the Surviving Corporation in the Merger, the Surviving Corporation shall become a wholly owned Subsidiary of Parent, and Parent shall change its name to “Orchestra BioMed Holdings, Inc.”.</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Unless this Agreement is earlier terminated in accordance with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on the date that is three (3) Business Days after all the conditions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have been satisfied or waived or at such other time, date and location as the Parent Parties and the Company agree in writing. The parties may participate in the Closing via electronic means. The date on which the Closing actually occur is hereinafter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For the avoidance of doubt, the Closing shall occur after the effectiveness of the Domestication.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At the Closing, the parties hereto shall cause the Certificate of Merger to be filed with the Secretary of State of the State of Delaware, in such form as is required by, and executed in accordance with, the relevant provisions of DGCL, and, as soon as practicable on or after the Closing Date, shall make any and all other filings or recordings required under the DGCL. The Merger shall become effective at such date and time as the Certificate of Merger is duly filed with the Delaware Secretary of State or at such other date and time as Merger Sub and the Company shall agree in writing and shall specify in the Certificate of Merger (the date and time the Merger becomes effective being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assets, property,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18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u w:val="single" w:color="auto"/>
          <w:color w:val="auto"/>
        </w:rPr>
        <w:t>Certificate of Incorporation; Bylaws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Certificate of Incorporation as in effect immediately prior to the Effective Time shall, in accordance with the terms thereof and the DGCL, be amended and restated in its entirety as set forth in the exhibit to the Certificate of Merger, and, as so amended and restated, shall be the certificate of incorporation of the Surviving Corporation until duly amended in accordance with the terms thereof and the DGCL.</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7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Bylaws as in effect immediately prior to the Effective Time shall be amended at the Effective Time to read in its entirety as the bylaws of Merger Sub as in effect immediately prior to the Effective Time, except that the name of the Surviving Corporation shall be “Orchestra BioMed, Inc.” until thereafter amended in accordance with the terms thereof, the certificate of incorporation of the Surviving Corporation and applicable Law.</w:t>
      </w:r>
    </w:p>
    <w:p>
      <w:pPr>
        <w:spacing w:after="0" w:line="18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8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in writing by the Company and Parent prior to the Closing, and conditioned upon the occurrence of the Closing, Parent shall take all actions necessary or appropriate to cause (i) all of the members of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xml:space="preserve">”) to resign effective as of the Closing, (ii) the number of directors constituting the Parent Board to be up to seven (7) and (iii) the individuals set forth on </w:t>
      </w:r>
      <w:r>
        <w:rPr>
          <w:rFonts w:ascii="Times New Roman" w:cs="Times New Roman" w:eastAsia="Times New Roman" w:hAnsi="Times New Roman"/>
          <w:sz w:val="18"/>
          <w:szCs w:val="18"/>
          <w:u w:val="single" w:color="auto"/>
          <w:color w:val="auto"/>
        </w:rPr>
        <w:t>Schedule 3.6(a)</w:t>
      </w:r>
      <w:r>
        <w:rPr>
          <w:rFonts w:ascii="Times New Roman" w:cs="Times New Roman" w:eastAsia="Times New Roman" w:hAnsi="Times New Roman"/>
          <w:sz w:val="18"/>
          <w:szCs w:val="18"/>
          <w:color w:val="auto"/>
        </w:rPr>
        <w:t xml:space="preserve"> to be elected as members of the, effective as of the Closing. Except as otherwise specified in writing by the Company to Parent prior to the Closing, and conditioned upon the occurrence of the Closing, Parent and the Parent Board shall take all actions necessary or appropriate to cause (i) all of the officers of Parent to resign effective as of the Closing and (ii) the individuals set forth on </w:t>
      </w:r>
      <w:r>
        <w:rPr>
          <w:rFonts w:ascii="Times New Roman" w:cs="Times New Roman" w:eastAsia="Times New Roman" w:hAnsi="Times New Roman"/>
          <w:sz w:val="18"/>
          <w:szCs w:val="18"/>
          <w:u w:val="single" w:color="auto"/>
          <w:color w:val="auto"/>
        </w:rPr>
        <w:t>Schedule 3.6(a)</w:t>
      </w:r>
      <w:r>
        <w:rPr>
          <w:rFonts w:ascii="Times New Roman" w:cs="Times New Roman" w:eastAsia="Times New Roman" w:hAnsi="Times New Roman"/>
          <w:sz w:val="18"/>
          <w:szCs w:val="18"/>
          <w:color w:val="auto"/>
        </w:rPr>
        <w:t xml:space="preserve"> to have been appointed as the officers of Parent in the positions specified opposite such individual’s names on </w:t>
      </w:r>
      <w:r>
        <w:rPr>
          <w:rFonts w:ascii="Times New Roman" w:cs="Times New Roman" w:eastAsia="Times New Roman" w:hAnsi="Times New Roman"/>
          <w:sz w:val="18"/>
          <w:szCs w:val="18"/>
          <w:u w:val="single" w:color="auto"/>
          <w:color w:val="auto"/>
        </w:rPr>
        <w:t>Schedule 3.6(a)</w:t>
      </w:r>
      <w:r>
        <w:rPr>
          <w:rFonts w:ascii="Times New Roman" w:cs="Times New Roman" w:eastAsia="Times New Roman" w:hAnsi="Times New Roman"/>
          <w:sz w:val="18"/>
          <w:szCs w:val="18"/>
          <w:color w:val="auto"/>
        </w:rPr>
        <w:t>, effective as of the Closing.</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8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officers of the Company shall become the initial officers of the Surviving Corporation and shall hold office until their respective successors are duly elected or appointed and qualified, or until their earlier death, resignation or removal.</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the initial directors of the Surviving Corporation shall consist of the same persons serving on Surviving Corporation’s Board of Directors in accordance with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and such directors shall hold office until their successors shall have been duly elected or appointed and qualified or until their earlier death, resignation or removal in accordance with the Surviving Corporation’s certificate of incorporation and bylaws.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Taking of Necessary Action; Further Action</w:t>
      </w:r>
      <w:r>
        <w:rPr>
          <w:rFonts w:ascii="Times New Roman" w:cs="Times New Roman" w:eastAsia="Times New Roman" w:hAnsi="Times New Roman"/>
          <w:sz w:val="18"/>
          <w:szCs w:val="18"/>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Merger Sub, the officers and directors of the Surviving Corporation are fully authorized in the name and on behalf of the Company and Merger Sub, to take all lawful action necessary or desirable to accomplish such purpose or acts, so long as such action is not inconsistent with this Agreement.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No Further Ownership Rights in Company Capital Stock</w:t>
      </w:r>
      <w:r>
        <w:rPr>
          <w:rFonts w:ascii="Times New Roman" w:cs="Times New Roman" w:eastAsia="Times New Roman" w:hAnsi="Times New Roman"/>
          <w:sz w:val="18"/>
          <w:szCs w:val="18"/>
          <w:color w:val="auto"/>
        </w:rPr>
        <w:t xml:space="preserve">. All Merger Consideration Shares paid in accordance with the terms of this Agreement in respect of shares of Company Capital Stock, or upon the exercise of the appraisal rights described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shall be deemed to have been paid in full satisfaction of all rights pertaining to such shares of Company Capital Stock from and after the Effective Time, and there shall be no further registration of transfers of shares Company Capital Stock on the stock transfer books of the Surviving Corporation. If, after the Effective Time, certificates formerly representing shares of Company Capital Stock (each, a “</w:t>
      </w:r>
      <w:r>
        <w:rPr>
          <w:rFonts w:ascii="Times New Roman" w:cs="Times New Roman" w:eastAsia="Times New Roman" w:hAnsi="Times New Roman"/>
          <w:sz w:val="18"/>
          <w:szCs w:val="18"/>
          <w:u w:val="single" w:color="auto"/>
          <w:color w:val="auto"/>
        </w:rPr>
        <w:t>Company Stock Certificate</w:t>
      </w:r>
      <w:r>
        <w:rPr>
          <w:rFonts w:ascii="Times New Roman" w:cs="Times New Roman" w:eastAsia="Times New Roman" w:hAnsi="Times New Roman"/>
          <w:sz w:val="18"/>
          <w:szCs w:val="18"/>
          <w:color w:val="auto"/>
        </w:rPr>
        <w:t xml:space="preserve">”) are presented to the Surviving Corporation, subject to the terms and conditions set forth herein, they shall be cancelled and exchanged for the Merger Consideration Shares provided for, and in accordance with the procedures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Rights Not Transferable</w:t>
      </w:r>
      <w:r>
        <w:rPr>
          <w:rFonts w:ascii="Times New Roman" w:cs="Times New Roman" w:eastAsia="Times New Roman" w:hAnsi="Times New Roman"/>
          <w:sz w:val="18"/>
          <w:szCs w:val="18"/>
          <w:color w:val="auto"/>
        </w:rPr>
        <w:t xml:space="preserve">. The rights of the holders of Company Capital Stock as of immediately prior to the Effective Time are personal to each such holder and shall not be assignable or otherwise transferable for any reason (except by will or by the operation of the laws of descent after the death of a natural holder thereof or as otherwise permitted pursuant to the procedures contemplated by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Any attempted transfer of such right after the Effective Time by any holder thereof (otherwise than as permitted by the immediately preceding sentence) shall be null and void.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Notwithstanding anything to the contrary contained in this Agreement, Parent and the Company shall be entitled to deduct and withhold from the cash otherwise deliverable under this Agreement, and, from any other payments otherwise required pursuant to this Agreement or any Additional Agreement, such amounts as Parent or the Company, as the case may be, are required to withhold and pay over to the applicable Authority with respect to any such deliveries and payments under the Code or any provision of state, local, provincial or foreign Tax Law. To the extent that amounts are so withheld and are remitted to the appropriate Taxing Authority, such withheld amounts shall be treated for all purposes of this Agreement as having been delivered and paid to such Person in respect of which such deduction and withholding was made. Notwithstanding the foregoing, Parent shall use commercially reasonable efforts to reduce or eliminate any such withholding, including providing recipients of consideration a reasonable opportunity to provide documentation establishing exemptions from or reductions of such withholdings.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U.S. Tax Treatment of the Merger</w:t>
      </w:r>
      <w:r>
        <w:rPr>
          <w:rFonts w:ascii="Times New Roman" w:cs="Times New Roman" w:eastAsia="Times New Roman" w:hAnsi="Times New Roman"/>
          <w:sz w:val="18"/>
          <w:szCs w:val="18"/>
          <w:color w:val="auto"/>
        </w:rPr>
        <w:t>. For U.S. federal income tax purposes, the Merger is intended to constitute a “reorganization” within the meaning of Section 368(a) of the Code. The parties to this Agreement hereby (i) adopt this Agreement insofar as it relates to the Merger as a “plan of reorganization” within the meaning of Section 1.368-2(g) of the United States Treasury regulations, (ii) agree to file and retain such information with respect to the Merger as shall be required under Section 1.368-3 of the United States Treasury regulations, and (iii) agree to file all Tax and other informational returns with respect to the Merger on a basis consistent with such characterization, unless required to do otherwise pursuant to a final determination as defined in Section 1313(a) of the Code (or pursuant to any similar provision of applicable state, local or foreign Law). For the avoidance of doubt, the receipt of any portion of the Earnout Shares shall be treated and reported for income tax purposes as being received as additional merger consideration as part of the “reorganization” in accordance with the Code.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OF SHARES; CONSIDERATION</w:t>
      </w:r>
    </w:p>
    <w:p>
      <w:pPr>
        <w:spacing w:after="0" w:line="207"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Effect of the Merger on Company Capital Stock</w:t>
      </w:r>
      <w:r>
        <w:rPr>
          <w:rFonts w:ascii="Times New Roman" w:cs="Times New Roman" w:eastAsia="Times New Roman" w:hAnsi="Times New Roman"/>
          <w:sz w:val="18"/>
          <w:szCs w:val="18"/>
          <w:color w:val="auto"/>
        </w:rPr>
        <w:t>. At the Effective Time, as a result of the Merger and without any action on the part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Merger Sub, the Company or the holders of any shares of capital stock of any of them:</w:t>
      </w:r>
    </w:p>
    <w:p>
      <w:pPr>
        <w:spacing w:after="0" w:line="205" w:lineRule="exact"/>
        <w:rPr>
          <w:sz w:val="20"/>
          <w:szCs w:val="20"/>
          <w:color w:val="auto"/>
        </w:rPr>
      </w:pPr>
    </w:p>
    <w:p>
      <w:pPr>
        <w:jc w:val="both"/>
        <w:ind w:firstLine="1304"/>
        <w:spacing w:after="0" w:line="267" w:lineRule="auto"/>
        <w:tabs>
          <w:tab w:leader="none" w:pos="18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Cancellation of Certain Shares of Company Capital Stock</w:t>
      </w:r>
      <w:r>
        <w:rPr>
          <w:rFonts w:ascii="Times New Roman" w:cs="Times New Roman" w:eastAsia="Times New Roman" w:hAnsi="Times New Roman"/>
          <w:sz w:val="18"/>
          <w:szCs w:val="18"/>
          <w:color w:val="auto"/>
        </w:rPr>
        <w:t>. Each share of Company Capital Stock, if any, that is owned by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Merger Sub (or any other Subsidiary of Parent) or the Company (or any of its Subsidiaries) (as treasury stock or otherwise), shall automatically be cancelled and extinguished without any conversion thereof and will cease to exist, and no consideration will be delivered in exchange therefor.</w:t>
      </w:r>
    </w:p>
    <w:p>
      <w:pPr>
        <w:spacing w:after="0" w:line="17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Shares of Company Common Stock</w:t>
      </w:r>
      <w:r>
        <w:rPr>
          <w:rFonts w:ascii="Times New Roman" w:cs="Times New Roman" w:eastAsia="Times New Roman" w:hAnsi="Times New Roman"/>
          <w:sz w:val="18"/>
          <w:szCs w:val="18"/>
          <w:color w:val="auto"/>
        </w:rPr>
        <w:t>. Each share of Company Common Stock issued and outstanding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prior to the Effective Time (including shares of Company Common Stock issued pursuant to the Preferred Stock Conversion, but excluding any such shares of Company Common Stock cancelled pursuant to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and any Dissenting Shares) shall automatically be cancelled, extinguished and converted into the right to receive a number of Domesticated Parent Common Shares equal to the Exchange Ratio and each holder of share certificates representing such shares of Company Common Stock shall thereafter cease to have any rights with respect to such securities.</w:t>
      </w:r>
    </w:p>
    <w:p>
      <w:pPr>
        <w:spacing w:after="0" w:line="183" w:lineRule="exact"/>
        <w:rPr>
          <w:rFonts w:ascii="Times New Roman" w:cs="Times New Roman" w:eastAsia="Times New Roman" w:hAnsi="Times New Roman"/>
          <w:sz w:val="18"/>
          <w:szCs w:val="18"/>
          <w:color w:val="auto"/>
        </w:rPr>
      </w:pPr>
    </w:p>
    <w:p>
      <w:pPr>
        <w:jc w:val="both"/>
        <w:ind w:firstLine="1304"/>
        <w:spacing w:after="0" w:line="267" w:lineRule="auto"/>
        <w:tabs>
          <w:tab w:leader="none" w:pos="19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Merger Sub Capital Stock</w:t>
      </w:r>
      <w:r>
        <w:rPr>
          <w:rFonts w:ascii="Times New Roman" w:cs="Times New Roman" w:eastAsia="Times New Roman" w:hAnsi="Times New Roman"/>
          <w:sz w:val="18"/>
          <w:szCs w:val="18"/>
          <w:color w:val="auto"/>
        </w:rPr>
        <w:t>. Each share of common stock, par value $0.01 per share, of Merger Sub issued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immediately prior to the Effective Time shall be converted into and become one newly issued, fully paid and nonassessable share of common stock of the Surviving Corporation.</w:t>
      </w:r>
    </w:p>
    <w:p>
      <w:pPr>
        <w:spacing w:after="0" w:line="17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Treatment of Company Options, Company Warrants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1900" w:hanging="596"/>
        <w:spacing w:after="0"/>
        <w:tabs>
          <w:tab w:leader="none" w:pos="1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Options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589" w:val="left"/>
        </w:tabs>
        <w:numPr>
          <w:ilvl w:val="1"/>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Prior to the Closing, the Company’s Board of Directors (or, if appropriate, any committee thereof administering the Equity Incentive Plan) shall adopt such resolutions or take such other actions as may be required to adjust the terms of all Vested Company Options and Unvested Company Options as necessary to provide that, at the Effective Time, each Company Option shall be converted into an option to acquire, subject to substantially the same terms and conditions as were applicable under such Company Option, the number of Domesticated Parent Common Shares (rounded down to the nearest whole share), determined by multiplying the number of shares of Company Common Stock subject to such Company Option as of immediately prior to the Effective Time by the Exchange Ratio, at an exercise price per Domesticated Parent Common Share (rounded up to the nearest whole cent) equal to (x) the exercise price per share of Company Common Stock of such Company Option divided by (y) the Exchange Ratio (a “</w:t>
      </w:r>
      <w:r>
        <w:rPr>
          <w:rFonts w:ascii="Times New Roman" w:cs="Times New Roman" w:eastAsia="Times New Roman" w:hAnsi="Times New Roman"/>
          <w:sz w:val="18"/>
          <w:szCs w:val="18"/>
          <w:u w:val="single" w:color="auto"/>
          <w:color w:val="auto"/>
        </w:rPr>
        <w:t>Converted Stock Option</w:t>
      </w:r>
      <w:r>
        <w:rPr>
          <w:rFonts w:ascii="Times New Roman" w:cs="Times New Roman" w:eastAsia="Times New Roman" w:hAnsi="Times New Roman"/>
          <w:sz w:val="18"/>
          <w:szCs w:val="18"/>
          <w:color w:val="auto"/>
        </w:rPr>
        <w:t>”); and</w:t>
      </w:r>
    </w:p>
    <w:p>
      <w:pPr>
        <w:spacing w:after="0" w:line="191" w:lineRule="exact"/>
        <w:rPr>
          <w:rFonts w:ascii="Times New Roman" w:cs="Times New Roman" w:eastAsia="Times New Roman" w:hAnsi="Times New Roman"/>
          <w:sz w:val="18"/>
          <w:szCs w:val="18"/>
          <w:color w:val="010000"/>
        </w:rPr>
      </w:pPr>
    </w:p>
    <w:p>
      <w:pPr>
        <w:jc w:val="both"/>
        <w:ind w:left="660" w:firstLine="1292"/>
        <w:spacing w:after="0" w:line="258" w:lineRule="auto"/>
        <w:tabs>
          <w:tab w:leader="none" w:pos="2680" w:val="left"/>
        </w:tabs>
        <w:numPr>
          <w:ilvl w:val="1"/>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At the Effective Time, Parent shall assume all obligations of the Company under the Equity Incentive Plan, each outstanding Converted Stock Option and the agreements evidencing the grants thereof. As soon as practicable after the Effective Time, Parent shall deliver to the holders of Converted Stock Options appropriate notices setting forth such holders’ rights, and the agreements evidencing the grants of such Converted Stock Option shall continue in effect on substantially the same terms and conditions (subject to the adjustments required by this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after giving effect to the Merger).</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both"/>
        <w:ind w:firstLine="1304"/>
        <w:spacing w:after="0" w:line="258" w:lineRule="auto"/>
        <w:tabs>
          <w:tab w:leader="none" w:pos="20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Company Warrants</w:t>
      </w:r>
      <w:r>
        <w:rPr>
          <w:rFonts w:ascii="Times New Roman" w:cs="Times New Roman" w:eastAsia="Times New Roman" w:hAnsi="Times New Roman"/>
          <w:sz w:val="18"/>
          <w:szCs w:val="18"/>
          <w:color w:val="auto"/>
        </w:rPr>
        <w:t>. Contingent on and effective immediately prior to the Effective Time, all Company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immediately prior to the Effective Time shall be treated in accordance with the terms of the relevant agreements governing such Company Warrants, including, to the extent required thereunder, the conversion thereof into Domesticated Parent Warrants. In the event of any such conversion, as soon as practicable after the Effective Time, Parent shall deliver to the holders of such Domesticated Parent Warrants any appropriate notices and the agreements evidencing the issuance of such Domesticated Parent Warrants.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Notwithstanding any provision of this Agreement to the contrary, including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shares of Company Capital Stock issued and outstanding immediately prior to the Effective Time (other than shares of Company Capital Stock cancelled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4.1(a)</w:t>
      </w:r>
      <w:r>
        <w:rPr>
          <w:rFonts w:ascii="Times New Roman" w:cs="Times New Roman" w:eastAsia="Times New Roman" w:hAnsi="Times New Roman"/>
          <w:sz w:val="18"/>
          <w:szCs w:val="18"/>
          <w:color w:val="auto"/>
        </w:rPr>
        <w:t>) and held by a holder who has not voted in favor of adoption of this Agreement or consented thereto in writing and who has properly exercised and perfected appraisal rights of such shares of Company Capital Stock in accordance with Section 262 of the DGCL (such shares of Company Capital Stock being referred to collectively as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until such time as such holder fails to perfect or otherwise loses such holder’s appraisal rights under the DGCL with respect to such shares) shall not be converted into a right to receive a portion of the Merger Consideration Shares, but instead shall be entitled to only such rights as are granted by Section 262 of the DGCL;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if, after the Effective Time, such holder fails to perfect, withdraws or loses such holder’s right to appraisal pursuant to Section 262 of the DGCL or if a court of competent jurisdiction shall determine that such holder is not entitled to the relief provided by Section 262 of the DGCL, such Dissenting Shares shall be treated as if they had been converted as of the Effective Time into the right to receive the portion of the Merger Consideration Shares to which such holder is entitled pursuant to the applicable subsections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without interest thereon, upon surrender of the Company Stock Certificate or Company Stock Certificates representing such Dissenting Shares in accordance with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The Company shall promptly provide Parent prompt written notice of any demands received by the Company for appraisal of shares of Company Common Stock, any withdrawal of any such demand and any other demand, notice or instrument delivered to the Company prior to the Effective Time pursuant to the DGCL that relates to such demand, and Parent shall have the opportunity to participate in all negotiations and proceedings with respect to such demands.</w:t>
      </w:r>
    </w:p>
    <w:p>
      <w:pPr>
        <w:spacing w:after="0" w:line="19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Surrender and Payment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304"/>
        <w:spacing w:after="0" w:line="257" w:lineRule="auto"/>
        <w:tabs>
          <w:tab w:leader="none" w:pos="181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Fund</w:t>
      </w:r>
      <w:r>
        <w:rPr>
          <w:rFonts w:ascii="Times New Roman" w:cs="Times New Roman" w:eastAsia="Times New Roman" w:hAnsi="Times New Roman"/>
          <w:sz w:val="18"/>
          <w:szCs w:val="18"/>
          <w:color w:val="auto"/>
        </w:rPr>
        <w:t>. On the Closing Date, Parent shall deposit, or shall cause to be deposited, with Continental Stock Transfer &amp;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for the benefit of the Company Stockholders, for exchange in accordance with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number of Domesticated Parent Common Shares sufficient to deliver the aggregate Merger Consideration Shares payable pursuant to this Agreement (such Domesticated Parent Common Shares,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Parent shall cause the Exchange Agent, pursuant to irrevocable instructions, to pay the Merger Consideration Shares out of the Exchange Fund in accordance with the Closing Consideration Spreadsheet and the other applicable provisions contained in this Agreement. The Exchange Fund shall not be used for any other purpose other than as contemplated by this Agreement.</w:t>
      </w:r>
    </w:p>
    <w:p>
      <w:pPr>
        <w:spacing w:after="0" w:line="182"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6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Procedures</w:t>
      </w:r>
      <w:r>
        <w:rPr>
          <w:rFonts w:ascii="Times New Roman" w:cs="Times New Roman" w:eastAsia="Times New Roman" w:hAnsi="Times New Roman"/>
          <w:sz w:val="18"/>
          <w:szCs w:val="18"/>
          <w:color w:val="auto"/>
        </w:rPr>
        <w:t>. As soon as practicable following the Effective Time, and in any event within two (2) Business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Effective Time (but in no event prior to the Effective Time), Parent shall cause the Exchange Agent to deliver to each Company Stockholder, as of immediately prior to the Effective Time, represented by certificate or book-entry, (i) a letter of transmittal and instructions for use in exchanging such Company Stockholder’s shares of Company Capital Stock for such Company Stockholder’s applicable portion of the Merger Consideration Shares from the Exchange Fund, and which shall be in form and contain provisions which Parent may specify and which are reasonably acceptable to the Company (a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and promptly following receipt of a Company Stockholder’s properly executed Letter of Transmittal, deliver such Company Stockholder’s applicable portion of the Merger Consideration Shares to such Company Stockholder.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9" w:name="page40"/>
    <w:bookmarkEnd w:id="39"/>
    <w:p>
      <w:pPr>
        <w:jc w:val="both"/>
        <w:ind w:left="-20" w:firstLine="1304"/>
        <w:spacing w:after="0" w:line="257" w:lineRule="auto"/>
        <w:tabs>
          <w:tab w:leader="none" w:pos="200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Exchange Fund</w:t>
      </w:r>
      <w:r>
        <w:rPr>
          <w:rFonts w:ascii="Times New Roman" w:cs="Times New Roman" w:eastAsia="Times New Roman" w:hAnsi="Times New Roman"/>
          <w:sz w:val="18"/>
          <w:szCs w:val="18"/>
          <w:color w:val="auto"/>
        </w:rPr>
        <w:t>. Any portion of the Exchange Fund relating to the Merger Consideration Shares that remains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undistributed to the Company Stockholders for two (2) years after the Effective Time shall be delivered to Parent, upon demand, and any Company Stockholders who have not theretofore complied with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thereafter look only to Parent for their portion of the Merger Consideration Shares. Any portion of the Exchange Fund remaining unclaimed by Company Stockholders as of a date which is immediately prior to such time as such amounts would otherwise escheat to or become property of any Authority shall, to the extent permitted by applicable Law, become the property of Parent free and clear of any claims or interest of any person previously entitled thereto.</w:t>
      </w:r>
    </w:p>
    <w:p>
      <w:pPr>
        <w:spacing w:after="0" w:line="18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Closing Consideration Spreadsheet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1304"/>
        <w:spacing w:after="0" w:line="266" w:lineRule="auto"/>
        <w:tabs>
          <w:tab w:leader="none" w:pos="20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and no more than six (6) Business Days prior to the Closing Date, the Company shall deliver to Parent a consideration spreadsheet in form and substance agreed to by the Company and Parent (the “</w:t>
      </w:r>
      <w:r>
        <w:rPr>
          <w:rFonts w:ascii="Times New Roman" w:cs="Times New Roman" w:eastAsia="Times New Roman" w:hAnsi="Times New Roman"/>
          <w:sz w:val="18"/>
          <w:szCs w:val="18"/>
          <w:u w:val="single" w:color="auto"/>
          <w:color w:val="auto"/>
        </w:rPr>
        <w:t>Closing Consideration Spreadsheet</w:t>
      </w:r>
      <w:r>
        <w:rPr>
          <w:rFonts w:ascii="Times New Roman" w:cs="Times New Roman" w:eastAsia="Times New Roman" w:hAnsi="Times New Roman"/>
          <w:sz w:val="18"/>
          <w:szCs w:val="18"/>
          <w:color w:val="auto"/>
        </w:rPr>
        <w:t>”), prepared by the Company in good faith and detailing the following, in each case, as of immediately prior to the Effective Time:</w:t>
      </w:r>
    </w:p>
    <w:p>
      <w:pPr>
        <w:spacing w:after="0" w:line="175" w:lineRule="exact"/>
        <w:rPr>
          <w:rFonts w:ascii="Times New Roman" w:cs="Times New Roman" w:eastAsia="Times New Roman" w:hAnsi="Times New Roman"/>
          <w:sz w:val="18"/>
          <w:szCs w:val="18"/>
          <w:color w:val="auto"/>
        </w:rPr>
      </w:pPr>
    </w:p>
    <w:p>
      <w:pPr>
        <w:jc w:val="both"/>
        <w:ind w:left="640" w:firstLine="1292"/>
        <w:spacing w:after="0" w:line="261" w:lineRule="auto"/>
        <w:tabs>
          <w:tab w:leader="none" w:pos="2677" w:val="left"/>
        </w:tabs>
        <w:numPr>
          <w:ilvl w:val="1"/>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name and address of record of each Company Stockholder and the number and class, type or series of shares of Company Capital Stock held by each, in the case of shares of each series of Company Preferred Stock, the number of shares of Company Common Stock into which such shares of Company Preferred Stock are convertible pursuant to the Preferred Stock Conversion and an indication of whether each Company Stockholder is an Earnout Participant;</w:t>
      </w:r>
    </w:p>
    <w:p>
      <w:pPr>
        <w:spacing w:after="0" w:line="179" w:lineRule="exact"/>
        <w:rPr>
          <w:rFonts w:ascii="Times New Roman" w:cs="Times New Roman" w:eastAsia="Times New Roman" w:hAnsi="Times New Roman"/>
          <w:sz w:val="18"/>
          <w:szCs w:val="18"/>
          <w:color w:val="010000"/>
        </w:rPr>
      </w:pPr>
    </w:p>
    <w:p>
      <w:pPr>
        <w:ind w:left="640" w:right="20" w:firstLine="1292"/>
        <w:spacing w:after="0" w:line="282" w:lineRule="auto"/>
        <w:tabs>
          <w:tab w:leader="none" w:pos="2669" w:val="left"/>
        </w:tabs>
        <w:numPr>
          <w:ilvl w:val="1"/>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names and addresses of record of each holder of Company Warrants and the number and class, type or series of shares of Company Capital Stock subject to each Company Warrant held by it;</w:t>
      </w:r>
    </w:p>
    <w:p>
      <w:pPr>
        <w:spacing w:after="0" w:line="161" w:lineRule="exact"/>
        <w:rPr>
          <w:rFonts w:ascii="Times New Roman" w:cs="Times New Roman" w:eastAsia="Times New Roman" w:hAnsi="Times New Roman"/>
          <w:sz w:val="18"/>
          <w:szCs w:val="18"/>
          <w:color w:val="010000"/>
        </w:rPr>
      </w:pPr>
    </w:p>
    <w:p>
      <w:pPr>
        <w:ind w:left="640" w:right="20" w:firstLine="1292"/>
        <w:spacing w:after="0" w:line="282" w:lineRule="auto"/>
        <w:tabs>
          <w:tab w:leader="none" w:pos="2606" w:val="left"/>
        </w:tabs>
        <w:numPr>
          <w:ilvl w:val="1"/>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names of record of each holder of Vested Company Options, and the exercise price, number of shares of Company Common Stock subject to each Vested Company Option held by it;</w:t>
      </w:r>
    </w:p>
    <w:p>
      <w:pPr>
        <w:spacing w:after="0" w:line="161" w:lineRule="exact"/>
        <w:rPr>
          <w:rFonts w:ascii="Times New Roman" w:cs="Times New Roman" w:eastAsia="Times New Roman" w:hAnsi="Times New Roman"/>
          <w:sz w:val="18"/>
          <w:szCs w:val="18"/>
          <w:color w:val="010000"/>
        </w:rPr>
      </w:pPr>
    </w:p>
    <w:p>
      <w:pPr>
        <w:jc w:val="both"/>
        <w:ind w:left="640" w:right="20" w:firstLine="1292"/>
        <w:spacing w:after="0" w:line="266" w:lineRule="auto"/>
        <w:tabs>
          <w:tab w:leader="none" w:pos="2772" w:val="left"/>
        </w:tabs>
        <w:numPr>
          <w:ilvl w:val="1"/>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names of record of each holder of Unvested Company Options, and the exercise price, number of shares of Company Common Stock subject to each such Unvested Company Option held by it and vesting arrangements with respect to each such Unvested Company Option (including the vesting schedule, vesting commencement date, date fully vested);</w:t>
      </w:r>
    </w:p>
    <w:p>
      <w:pPr>
        <w:spacing w:after="0" w:line="175" w:lineRule="exact"/>
        <w:rPr>
          <w:rFonts w:ascii="Times New Roman" w:cs="Times New Roman" w:eastAsia="Times New Roman" w:hAnsi="Times New Roman"/>
          <w:sz w:val="18"/>
          <w:szCs w:val="18"/>
          <w:color w:val="010000"/>
        </w:rPr>
      </w:pPr>
    </w:p>
    <w:p>
      <w:pPr>
        <w:ind w:left="2540" w:hanging="608"/>
        <w:spacing w:after="0"/>
        <w:tabs>
          <w:tab w:leader="none" w:pos="2540" w:val="left"/>
        </w:tabs>
        <w:numPr>
          <w:ilvl w:val="1"/>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number of Fully Diluted Company Shares;</w:t>
      </w:r>
    </w:p>
    <w:p>
      <w:pPr>
        <w:spacing w:after="0" w:line="225" w:lineRule="exact"/>
        <w:rPr>
          <w:rFonts w:ascii="Times New Roman" w:cs="Times New Roman" w:eastAsia="Times New Roman" w:hAnsi="Times New Roman"/>
          <w:sz w:val="18"/>
          <w:szCs w:val="18"/>
          <w:color w:val="010000"/>
        </w:rPr>
      </w:pPr>
    </w:p>
    <w:p>
      <w:pPr>
        <w:ind w:left="2560" w:hanging="628"/>
        <w:spacing w:after="0"/>
        <w:tabs>
          <w:tab w:leader="none" w:pos="2560" w:val="left"/>
        </w:tabs>
        <w:numPr>
          <w:ilvl w:val="1"/>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aggregate number of Rollover Option Shares;</w:t>
      </w:r>
    </w:p>
    <w:p>
      <w:pPr>
        <w:spacing w:after="0" w:line="225" w:lineRule="exact"/>
        <w:rPr>
          <w:rFonts w:ascii="Times New Roman" w:cs="Times New Roman" w:eastAsia="Times New Roman" w:hAnsi="Times New Roman"/>
          <w:sz w:val="18"/>
          <w:szCs w:val="18"/>
          <w:color w:val="010000"/>
        </w:rPr>
      </w:pPr>
    </w:p>
    <w:p>
      <w:pPr>
        <w:ind w:left="2560" w:hanging="628"/>
        <w:spacing w:after="0"/>
        <w:tabs>
          <w:tab w:leader="none" w:pos="2560" w:val="left"/>
        </w:tabs>
        <w:numPr>
          <w:ilvl w:val="1"/>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detailed calculations of each of the following (in each case, determined without regard to withholding):</w:t>
      </w:r>
    </w:p>
    <w:p>
      <w:pPr>
        <w:spacing w:after="0" w:line="225" w:lineRule="exact"/>
        <w:rPr>
          <w:rFonts w:ascii="Times New Roman" w:cs="Times New Roman" w:eastAsia="Times New Roman" w:hAnsi="Times New Roman"/>
          <w:sz w:val="18"/>
          <w:szCs w:val="18"/>
          <w:color w:val="010000"/>
        </w:rPr>
      </w:pPr>
    </w:p>
    <w:p>
      <w:pPr>
        <w:ind w:left="3140" w:hanging="560"/>
        <w:spacing w:after="0"/>
        <w:tabs>
          <w:tab w:leader="none" w:pos="3140" w:val="left"/>
        </w:tabs>
        <w:numPr>
          <w:ilvl w:val="2"/>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Merger Consideration Shares;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5" w:right="339" w:bottom="1440" w:gutter="0" w:footer="0" w:header="0"/>
        </w:sectPr>
      </w:pPr>
    </w:p>
    <w:bookmarkStart w:id="40" w:name="page41"/>
    <w:bookmarkEnd w:id="40"/>
    <w:p>
      <w:pPr>
        <w:jc w:val="both"/>
        <w:ind w:left="1960" w:firstLine="640"/>
        <w:spacing w:after="0" w:line="266" w:lineRule="auto"/>
        <w:tabs>
          <w:tab w:leader="none" w:pos="3230" w:val="left"/>
        </w:tabs>
        <w:numPr>
          <w:ilvl w:val="1"/>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for each Company Stockholder, the number of Domesticated Parent Common Shares to which it is entitled to receive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for its shares of Company Common Stock assuming consummation of the Preferred Share Conversion;</w:t>
      </w:r>
    </w:p>
    <w:p>
      <w:pPr>
        <w:spacing w:after="0" w:line="175" w:lineRule="exact"/>
        <w:rPr>
          <w:rFonts w:ascii="Times New Roman" w:cs="Times New Roman" w:eastAsia="Times New Roman" w:hAnsi="Times New Roman"/>
          <w:sz w:val="18"/>
          <w:szCs w:val="18"/>
          <w:color w:val="010000"/>
        </w:rPr>
      </w:pPr>
    </w:p>
    <w:p>
      <w:pPr>
        <w:ind w:left="3160" w:hanging="560"/>
        <w:spacing w:after="0"/>
        <w:tabs>
          <w:tab w:leader="none" w:pos="3160" w:val="left"/>
        </w:tabs>
        <w:numPr>
          <w:ilvl w:val="1"/>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each Earnout Participant, its Pro Rata Portion;</w:t>
      </w:r>
    </w:p>
    <w:p>
      <w:pPr>
        <w:spacing w:after="0" w:line="225" w:lineRule="exact"/>
        <w:rPr>
          <w:rFonts w:ascii="Times New Roman" w:cs="Times New Roman" w:eastAsia="Times New Roman" w:hAnsi="Times New Roman"/>
          <w:sz w:val="18"/>
          <w:szCs w:val="18"/>
          <w:color w:val="010000"/>
        </w:rPr>
      </w:pPr>
    </w:p>
    <w:p>
      <w:pPr>
        <w:jc w:val="both"/>
        <w:ind w:left="1960" w:firstLine="640"/>
        <w:spacing w:after="0" w:line="261" w:lineRule="auto"/>
        <w:tabs>
          <w:tab w:leader="none" w:pos="3226" w:val="left"/>
        </w:tabs>
        <w:numPr>
          <w:ilvl w:val="1"/>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for each Company Stockholder, the number of Domesticated Parent Common Shares to which it is entitled to receive pursuant to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(including detail as to the number of shares of Domesticated Parent Common Shares such Company Stockholder is to receive pursuant to each Milestone Event, assuming the occurrence of the Milestone Events and satisfaction of all other conditions to receiving such shares);</w:t>
      </w:r>
    </w:p>
    <w:p>
      <w:pPr>
        <w:spacing w:after="0" w:line="179" w:lineRule="exact"/>
        <w:rPr>
          <w:rFonts w:ascii="Times New Roman" w:cs="Times New Roman" w:eastAsia="Times New Roman" w:hAnsi="Times New Roman"/>
          <w:sz w:val="18"/>
          <w:szCs w:val="18"/>
          <w:color w:val="010000"/>
        </w:rPr>
      </w:pPr>
    </w:p>
    <w:p>
      <w:pPr>
        <w:jc w:val="both"/>
        <w:ind w:left="1960" w:firstLine="640"/>
        <w:spacing w:after="0" w:line="266" w:lineRule="auto"/>
        <w:tabs>
          <w:tab w:leader="none" w:pos="3193" w:val="left"/>
        </w:tabs>
        <w:numPr>
          <w:ilvl w:val="1"/>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each Converted Stock Option, the exercise price therefor and the number of Domesticated Parent Common Shares subject to such Converted Stock Option and whether such Converted Stock Option constitutes a Vested Company Option or Unvested Company Option; and</w:t>
      </w:r>
    </w:p>
    <w:p>
      <w:pPr>
        <w:spacing w:after="0" w:line="175" w:lineRule="exact"/>
        <w:rPr>
          <w:rFonts w:ascii="Times New Roman" w:cs="Times New Roman" w:eastAsia="Times New Roman" w:hAnsi="Times New Roman"/>
          <w:sz w:val="18"/>
          <w:szCs w:val="18"/>
          <w:color w:val="010000"/>
        </w:rPr>
      </w:pPr>
    </w:p>
    <w:p>
      <w:pPr>
        <w:ind w:left="1960" w:firstLine="640"/>
        <w:spacing w:after="0" w:line="282" w:lineRule="auto"/>
        <w:tabs>
          <w:tab w:leader="none" w:pos="3156" w:val="left"/>
        </w:tabs>
        <w:numPr>
          <w:ilvl w:val="1"/>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each Company Warrant, the exercise price therefor and the number of Domesticated Parent Common Shares subject to such Company Warrant.</w:t>
      </w:r>
    </w:p>
    <w:p>
      <w:pPr>
        <w:spacing w:after="0" w:line="161" w:lineRule="exact"/>
        <w:rPr>
          <w:rFonts w:ascii="Times New Roman" w:cs="Times New Roman" w:eastAsia="Times New Roman" w:hAnsi="Times New Roman"/>
          <w:sz w:val="18"/>
          <w:szCs w:val="18"/>
          <w:color w:val="010000"/>
        </w:rPr>
      </w:pPr>
    </w:p>
    <w:p>
      <w:pPr>
        <w:ind w:left="2000" w:hanging="696"/>
        <w:spacing w:after="0"/>
        <w:tabs>
          <w:tab w:leader="none" w:pos="2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Consideration Spreadsheet shall be true complete and correct and shall contain the same information described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1304"/>
        <w:spacing w:after="0" w:line="282" w:lineRule="auto"/>
        <w:tabs>
          <w:tab w:leader="none" w:pos="2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the Closing Consideration Spreadsheet delivered by the Company hereunder shall be subject to reasonable review and comment by Parent.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or in the Closing Consideration Spreadsheet shall be construed or deemed to modify the Company’s obligations to obtain Parent’s prior consent to the issuance of any securities pursuant to </w:t>
      </w:r>
      <w:r>
        <w:rPr>
          <w:rFonts w:ascii="Times New Roman" w:cs="Times New Roman" w:eastAsia="Times New Roman" w:hAnsi="Times New Roman"/>
          <w:sz w:val="18"/>
          <w:szCs w:val="18"/>
          <w:u w:val="single" w:color="auto"/>
          <w:color w:val="auto"/>
        </w:rPr>
        <w:t>Section 7.1(b)(xviii)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The Merger Consideration Shares and Exchange Ratio shall be adjusted to reflect appropriately the effect of any stock split, reverse stock split, stock dividend, recapitalization, reclassification, combination, exchange of shares or other like change with respect to Parent Ordinary Shares, Domesticated Parent Common Shares and Company Capital Stock occurring prior to the date the Merger Consideration Shares are issued.</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u w:val="single" w:color="auto"/>
          <w:color w:val="auto"/>
        </w:rPr>
        <w:t>Earnout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9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that was a Company Stockholder immediately prior to the Effective Time (other than holders of Dissenting Shares) that delivers a duly executed Earnout Election Agreement to the Company (copies of which will be provided to Parent) in accordance with instructions set forth therein (“</w:t>
      </w:r>
      <w:r>
        <w:rPr>
          <w:rFonts w:ascii="Times New Roman" w:cs="Times New Roman" w:eastAsia="Times New Roman" w:hAnsi="Times New Roman"/>
          <w:sz w:val="18"/>
          <w:szCs w:val="18"/>
          <w:u w:val="single" w:color="auto"/>
          <w:color w:val="auto"/>
        </w:rPr>
        <w:t>Earnout Participants</w:t>
      </w:r>
      <w:r>
        <w:rPr>
          <w:rFonts w:ascii="Times New Roman" w:cs="Times New Roman" w:eastAsia="Times New Roman" w:hAnsi="Times New Roman"/>
          <w:sz w:val="18"/>
          <w:szCs w:val="18"/>
          <w:color w:val="auto"/>
        </w:rPr>
        <w:t>”) shall be entitled to receive its Pro Rata Portion, as set forth in the Closing Consideration Spreadsheet, of:</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22" w:val="left"/>
        </w:tabs>
        <w:numPr>
          <w:ilvl w:val="1"/>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aggregate of 4,000,000 Domesticated Parent Common Shares (subject to any adjustment pursuant to </w:t>
      </w:r>
      <w:r>
        <w:rPr>
          <w:rFonts w:ascii="Times New Roman" w:cs="Times New Roman" w:eastAsia="Times New Roman" w:hAnsi="Times New Roman"/>
          <w:sz w:val="18"/>
          <w:szCs w:val="18"/>
          <w:u w:val="single" w:color="auto"/>
          <w:color w:val="auto"/>
        </w:rPr>
        <w:t>Section 4.7(e)</w:t>
      </w:r>
      <w:r>
        <w:rPr>
          <w:rFonts w:ascii="Times New Roman" w:cs="Times New Roman" w:eastAsia="Times New Roman" w:hAnsi="Times New Roman"/>
          <w:sz w:val="18"/>
          <w:szCs w:val="18"/>
          <w:color w:val="auto"/>
        </w:rPr>
        <w:t xml:space="preserve">, the “Initial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xml:space="preserve">”) in the event that over any twenty (20) Trading Days within any thirty (30)-Trading Day period during the Earnout Period the VWAP of the Domesticated Parent Common Shares is greater than or equal to $15.00 per share (subject to any adjustment pursuant to </w:t>
      </w:r>
      <w:r>
        <w:rPr>
          <w:rFonts w:ascii="Times New Roman" w:cs="Times New Roman" w:eastAsia="Times New Roman" w:hAnsi="Times New Roman"/>
          <w:sz w:val="18"/>
          <w:szCs w:val="18"/>
          <w:u w:val="single" w:color="auto"/>
          <w:color w:val="auto"/>
        </w:rPr>
        <w:t>Section 4.7(e)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Initial Milestone Event</w:t>
      </w:r>
      <w:r>
        <w:rPr>
          <w:rFonts w:ascii="Times New Roman" w:cs="Times New Roman" w:eastAsia="Times New Roman" w:hAnsi="Times New Roman"/>
          <w:sz w:val="18"/>
          <w:szCs w:val="18"/>
          <w:color w:val="auto"/>
        </w:rPr>
        <w:t>”); and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ind w:left="660" w:firstLine="1292"/>
        <w:spacing w:after="0" w:line="258" w:lineRule="auto"/>
        <w:tabs>
          <w:tab w:leader="none" w:pos="2558" w:val="left"/>
        </w:tabs>
        <w:numPr>
          <w:ilvl w:val="2"/>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aggregate of 4,000,000 Domesticated Parent Common Shares (subject to any adjustment pursuant to </w:t>
      </w:r>
      <w:r>
        <w:rPr>
          <w:rFonts w:ascii="Times New Roman" w:cs="Times New Roman" w:eastAsia="Times New Roman" w:hAnsi="Times New Roman"/>
          <w:sz w:val="18"/>
          <w:szCs w:val="18"/>
          <w:u w:val="single" w:color="auto"/>
          <w:color w:val="auto"/>
        </w:rPr>
        <w:t>Section 4.7(e)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Final Earnout Shares</w:t>
      </w:r>
      <w:r>
        <w:rPr>
          <w:rFonts w:ascii="Times New Roman" w:cs="Times New Roman" w:eastAsia="Times New Roman" w:hAnsi="Times New Roman"/>
          <w:sz w:val="18"/>
          <w:szCs w:val="18"/>
          <w:color w:val="auto"/>
        </w:rPr>
        <w:t>” and together with the Initial Earnout Shares, the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xml:space="preserve">”) in the event that over any twenty (20) Trading Days within any thirty (30)-Trading Day period during the Earnout Period the VWAP of the Domesticated Parent Common Shares is greater than or equal to $20.00 per share (subject to any adjustment pursuant to </w:t>
      </w:r>
      <w:r>
        <w:rPr>
          <w:rFonts w:ascii="Times New Roman" w:cs="Times New Roman" w:eastAsia="Times New Roman" w:hAnsi="Times New Roman"/>
          <w:sz w:val="18"/>
          <w:szCs w:val="18"/>
          <w:u w:val="single" w:color="auto"/>
          <w:color w:val="auto"/>
        </w:rPr>
        <w:t>Section 4.7(e)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Final Milestone Event</w:t>
      </w:r>
      <w:r>
        <w:rPr>
          <w:rFonts w:ascii="Times New Roman" w:cs="Times New Roman" w:eastAsia="Times New Roman" w:hAnsi="Times New Roman"/>
          <w:sz w:val="18"/>
          <w:szCs w:val="18"/>
          <w:color w:val="auto"/>
        </w:rPr>
        <w:t>” and together with the Initial Milestone Event, the “</w:t>
      </w:r>
      <w:r>
        <w:rPr>
          <w:rFonts w:ascii="Times New Roman" w:cs="Times New Roman" w:eastAsia="Times New Roman" w:hAnsi="Times New Roman"/>
          <w:sz w:val="18"/>
          <w:szCs w:val="18"/>
          <w:u w:val="single" w:color="auto"/>
          <w:color w:val="auto"/>
        </w:rPr>
        <w:t>Milestone Events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010000"/>
        </w:rPr>
      </w:pPr>
    </w:p>
    <w:p>
      <w:pPr>
        <w:jc w:val="both"/>
        <w:ind w:firstLine="1304"/>
        <w:spacing w:after="0" w:line="261" w:lineRule="auto"/>
        <w:tabs>
          <w:tab w:leader="none" w:pos="201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portion of the Earnout Shares (i) shall be issued to each Earnout Participant as soon as reasonably practicable after the occurrence of the applicable Milestone Event, free and clear of all Liens other than applicable federal and state securities restrictions. For the avoidance of doubt, Earnout Participants shall not be entitled to receive any Initial Earnout Shares or Final Earnout Shares in the event that the applicable Milestone Event does not occur prior to the expiration of the Earnout Period.</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6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Earnout Period, there occurs any transaction resulting in a Change in Control, and the corresponding valuation of Domesticated Parent Common Shares is greater than or equal to (i) $15.00 per share, then, immediately prior to the consummation of such Change in Control the Initial Milestone Event shall be deemed to have occurred and the applicable portion of the Initial Earnout Shares shall be issued to each Earnout Participant as of immediately prior to the Change in Control, and Earnout Participants shall be eligible to participate in such Change in Control transaction with respect to such Initial Earnout Shares; and (ii) $20.00 per share, then, immediately prior to the consummation of such Change in Control the Final Milestone Event shall be deemed to have occurred and the applicable portion of the Final Earnout Shares shall be issued to each Earnout Participant as of immediately prior to the Change in Control, and Earnout Participants shall be eligible to participate in such Change in Control transaction with respect to such Final Earnout Shares.</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take such actions as are reasonably requested by the Company Stockholders to evidence the issuances pursuant to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including, if such shares are issued to the recipient in record ownership, through the provision of an updated stock ledger showing such issuances (as certified by an officer of Parent responsible for maintaining such ledger or the applicable registrar or transfer agent of Parent).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7" w:lineRule="auto"/>
        <w:tabs>
          <w:tab w:leader="none" w:pos="191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Parent shall at any time during the Earnout Period pay any dividend on Domesticated Parent Common Shares by the issuance of additional Domesticated Parent Common Shares, or effect a subdivision or combination or consolidation of the outstanding Domesticated Parent Common Shares (by reclassification or otherwise) into a greater or lesser number of Domesticated Parent Common Shares, then in each such case,</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Earnout Shares shall be adjusted by multiplying such amount by a fraction, the numerator of which is the number of Domesticated Parent Common Shares (including any other shares so reclassified as Domesticated Parent Common Shares) outstanding immediately after such event and the denominator of which is the number of Domesticated Parent Common Shares that were outstanding immediately prior to such event, and (ii) the per share dollar amount of the Milestone Event shall be appropriately adjusted to provide to such Company Stockholders the same economic effect as contemplated by this Agreement prior to such event.</w:t>
      </w:r>
    </w:p>
    <w:p>
      <w:pPr>
        <w:spacing w:after="0" w:line="18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0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Earnout Period, Parent shall take all reasonable efforts for Parent to remain listed as a public company on, and for the Domesticated Parent Common Shares to be tradable over, Nasdaq; provided, however, that the foregoing shall not limit Parent from consummating a Change in Control or entering into a Contract that contemplates a Change in Control. Upon the consummation of any Change in Control during the Earnout Period, other than as set forth in </w:t>
      </w:r>
      <w:r>
        <w:rPr>
          <w:rFonts w:ascii="Times New Roman" w:cs="Times New Roman" w:eastAsia="Times New Roman" w:hAnsi="Times New Roman"/>
          <w:sz w:val="18"/>
          <w:szCs w:val="18"/>
          <w:u w:val="single" w:color="auto"/>
          <w:color w:val="auto"/>
        </w:rPr>
        <w:t>Section 4.7(c)</w:t>
      </w:r>
      <w:r>
        <w:rPr>
          <w:rFonts w:ascii="Times New Roman" w:cs="Times New Roman" w:eastAsia="Times New Roman" w:hAnsi="Times New Roman"/>
          <w:sz w:val="18"/>
          <w:szCs w:val="18"/>
          <w:color w:val="auto"/>
        </w:rPr>
        <w:t xml:space="preserve">, Parent shall have no further obligations pursuant to this </w:t>
      </w:r>
      <w:r>
        <w:rPr>
          <w:rFonts w:ascii="Times New Roman" w:cs="Times New Roman" w:eastAsia="Times New Roman" w:hAnsi="Times New Roman"/>
          <w:sz w:val="18"/>
          <w:szCs w:val="18"/>
          <w:u w:val="single" w:color="auto"/>
          <w:color w:val="auto"/>
        </w:rPr>
        <w:t>Section 4.7(f)</w:t>
      </w:r>
      <w:r>
        <w:rPr>
          <w:rFonts w:ascii="Times New Roman" w:cs="Times New Roman" w:eastAsia="Times New Roman" w:hAnsi="Times New Roman"/>
          <w:sz w:val="18"/>
          <w:szCs w:val="18"/>
          <w:color w:val="auto"/>
        </w:rPr>
        <w: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firstLine="1304"/>
        <w:spacing w:after="0" w:line="261" w:lineRule="auto"/>
        <w:tabs>
          <w:tab w:leader="none" w:pos="19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any amounts treated as imputed interest under Section 483 of the Code or any comparable law, any issuance of Earnout Shares pursuant to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shall be treated as an adjustment to the merger consideration by the parties for Tax purposes, unless otherwise required by a change in applicable Tax Law. Any Earnout Shares that are issued pursuant to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will be treated as eligible for non-recognition treatment under Section 354 of the Code (and will not be treated as “other property” within the meaning of Section 356 of the Code).</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3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none of the rights to receive the Earnout Shares and any interest therein shall be deemed to be a “security” for purposes of any securities law of any jurisdiction. The right to receive the Earnout Shares are deemed contractual rights in connection with the Merger and the parties do not view the right to receive the Earnout Shares as an investment by the holders thereof. The right to receive the Earnout Shares will not be represented by any physical certificate or similar instrument. The right to receive the Earnout Shares does not represent an equity or ownership interest in any entity. No interest in the right to receive the Earnout Shares may be sold, transferred assigned, pledged, hypothecated, encumbered or otherwise disposed of, except by operation of law, and any attempt to do so shall be null and void. For the avoidance of doubt, (i) once issued, the Earnout Shares shall be considered a “security” for purposes of any securities law of any jurisdiction and the restrictions set forth in the foregoing sentence shall not apply to such issued Earnout Shares, and (ii) no Earnout Shares shall be included in the calculation of the aggregate number of Domesticated Parent Common Shares outstanding at or immediately after the Closing for purposes of this Agreement.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Domesticated Parent Common Shares, or certificates or scrip representing fractional Domesticated Parent Common Shares, shall be issued upon the conversion of the Company Capital Stock pursuant to the Merger, and such fractional share interests will not entitle the owner thereof to vote or to any rights of a Parent Shareholder. Any fractional Domesticated Parent Common Shares will be rounded up or down to the nearest whole number of Domesticated Parent Common Shares (with 0.5 shares rounded up).</w:t>
      </w:r>
    </w:p>
    <w:p>
      <w:pPr>
        <w:spacing w:after="0" w:line="18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Lost or Destroyed Certificates</w:t>
      </w:r>
      <w:r>
        <w:rPr>
          <w:rFonts w:ascii="Times New Roman" w:cs="Times New Roman" w:eastAsia="Times New Roman" w:hAnsi="Times New Roman"/>
          <w:sz w:val="18"/>
          <w:szCs w:val="18"/>
          <w:color w:val="auto"/>
        </w:rPr>
        <w:t xml:space="preserve">. Notwithstanding the foregoing, if any Company Stock Certificate shall have been lost, stolen or destroyed, then upon the making of a customary affidavit of that fact by the Person claiming such Company Stock Certificate to be lost, stolen or destroyed in a form reasonably acceptable to Parent, the Exchange Agent shall issue, in exchange for such lost, stolen or destroyed Company Stock Certificate, the portion of the Merger Consideration Shares to be paid in respect of the shares of Company Capital Stock formerly represented by such Company Stock Certificate as contemplated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Except as set forth in the disclosure schedules delivered by the Company to the Parent Parties prior to the execution of this Agreement (the “</w:t>
      </w:r>
      <w:r>
        <w:rPr>
          <w:rFonts w:ascii="Times New Roman" w:cs="Times New Roman" w:eastAsia="Times New Roman" w:hAnsi="Times New Roman"/>
          <w:sz w:val="18"/>
          <w:szCs w:val="18"/>
          <w:u w:val="single" w:color="auto"/>
          <w:color w:val="auto"/>
        </w:rPr>
        <w:t>Company Disclosure Schedules</w:t>
      </w:r>
      <w:r>
        <w:rPr>
          <w:rFonts w:ascii="Times New Roman" w:cs="Times New Roman" w:eastAsia="Times New Roman" w:hAnsi="Times New Roman"/>
          <w:sz w:val="18"/>
          <w:szCs w:val="18"/>
          <w:color w:val="auto"/>
        </w:rPr>
        <w:t>”) (with specific reference to the particular section or subsection of this Agreement to which the information set forth in such disclosure letter relates (which qualify (a) the correspondingly numbered representation, warranty or covenant specified therein and (b) such other representations, warranties or covenants where its relevance as an exception to (or disclosure for purposes of) such other representation, warranty or covenant is reasonably apparent on its face or cross-referenced), the Company hereby represents and warrants to each of the Parent Parties that each of the following representations and warranties are true, correct and complete as of the date of this Agreement (except for representations and warranties that are made as of a specific date, which are made only as of such date).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The Company and each other member of the Company Group is a corporation or legal entity duly organized, validly existing and in good standing (with respect to jurisdictions that recognize that concept) under the laws of its jurisdiction of its incorporation or formation, as the case may be. The Company has all requisite power and authority, corporate and otherwise, to own, lease or otherwise hold and operate its properties and other assets and to carry on the Business. Each other member of the Company Group has all requisite power and authority, corporate and otherwise, to own, lease or otherwise hold and operate its properties and other assets and to carry on the Business, except as would not be material to the Company Group, taken as a whole. The Company and each other member of the Company Group is duly licensed or qualified to do business and is in good standing (with respect to jurisdictions that recognize that concept) in each jurisdiction in which the nature of its business or the ownership, leasing or operation of its properties or other assets makes such qualification, licensing or good standing necessary, except where the failure to be so qualified, licensed or in good standing, individually or in the aggregate, would not reasonably be expected to, individually or in the aggregate, have a Material Adverse Effect in respect of the Company Group. The Company has made available to Parent, prior to the date of this Agreement, complete and accurate copies of the Company Certificate of Incorporation and the Company Bylaws, and the comparable organizational or constitutive documents of each of its Subsidiaries, in each case as amended to the date hereof. The Company Certificate of Incorporation, the Company Bylaws and the comparable organizational or constitutive documents of the Company’s Subsidiaries so delivered are in full force and effect. The Company is not in violation of the Company Certificate of Incorporation or the Company Bylaws.</w:t>
      </w:r>
    </w:p>
    <w:p>
      <w:pPr>
        <w:spacing w:after="0" w:line="19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Authorization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0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execute and deliver this Agreement and the Additional Agreements to which it is a party and to consummate the transactions contemplated hereby and thereby, in the case of the Merger, subject to receipt of the Company Stockholder Approval. The execution and delivery by the Company of this Agreement and the Additional Agreements to which it is a party and the consummation by the Company of the transactions contemplated hereby and thereby have been duly authorized by all necessary corporate action on the part of the Company, subject to the Company Stockholder Approval. No other corporate proceedings on the part of the Company are necessary to authorize this Agreement or the Additional Agreements to which it is a party or to consummate the transactions contemplated by this Agreement (other than, in the case of the Merger, the receipt of the Company Stockholder Approval) or the Additional Agreements. This Agreement and the Additional Agreements to which the Company is a party have been, or will be upon execution thereof, duly executed and delivered by the Company and, assuming the due authorization, execution and delivery by each of the other parties hereto and thereto, this Agreement and the Additional Agreements to which the Company is a party constitute a legal, valid and binding obligation of the Company, enforceable against the Company in accordance with their respective terms, subject to bankruptcy, insolvency, fraudulent transfer, moratorium, reorganization or similar Laws affecting the rights of creditors generally and the availability of equitable remedies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resolutions duly adopted (and not thereafter modified or rescinded) by the requisite vote of the Board of Directors of the Company, the Board of Directors of the Company has (i) approved the execution, delivery and performance by the Company of this Agreement, the Additional Agreements to which it is a party and the consummation of the transactions contemplated hereby and thereby, including the Merger, on the terms and subject to the conditions set forth herein and therein; (ii) determined that this Agreement, the Additional Agreements to which it is a party, and the transactions contemplated hereby and thereby, upon the terms and subject to the conditions set forth herein, are advisable and in the best interests of the Company and the Company Stockholders; (iii) directed that the adoption of this Agreement be submitted to the Company Stockholders for consideration and recommended that all of the Company Stockholders adopt this Agreement. The affirmative vote or written consent of (i) with respect to the approval and adoption of this Agreement, (A) Persons holding more than fifty percent (50%) (on an as-converted basis) of the voting power of the Company Stockholders and (B) Persons holding at least fifty percent (50%) of the outstanding shares of Company Preferred Stock, voting as a separate class; (ii) with respect to the approval of the Series A Conversion, Persons holding at least a majority of the then outstanding shares of Series A Preferred Stock, voting together as a separate class, who deliver written consents or are present in person or by proxy at such meeting and voting thereon are required to, and shall be sufficient to, approve this Agreement and the transactions contemplated hereby, including the Series A Conversion (the “</w:t>
      </w:r>
      <w:r>
        <w:rPr>
          <w:rFonts w:ascii="Times New Roman" w:cs="Times New Roman" w:eastAsia="Times New Roman" w:hAnsi="Times New Roman"/>
          <w:sz w:val="18"/>
          <w:szCs w:val="18"/>
          <w:u w:val="single" w:color="auto"/>
          <w:color w:val="auto"/>
        </w:rPr>
        <w:t>Company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The Company Stockholder Approval is the only vote or consent of any of the holders of Company Capital Stock necessary to adopt this Agreement and approve the Merger and the consummation of the other transactions contemplated hereby, including the Series A Conversion.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None of the execution, delivery or performance by the Company of this Agreement or any Additional Agreement to which the Company is or will be a party, or the consummation of the transactions contemplated hereby or thereby, requires any consent, approval, license, Order or other action by or in respect of, or registration, declaration or filing with, any Authority, except for (a) the filing of the Certificate of Merger with the Secretary of State of the State of Delaware pursuant to the DGCL, (b) in connection with the Domestication or (c) any consents, approvals, licenses, Orders or other actions, the absence of which would not, individually or in the aggregate, reasonably be expected to be material to the Company Group.</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None of the execution, delivery or performance by the Company of this Agreement or any Additional Agreement to which the Company is or will be a party or the consummation by the Company of the transactions contemplated hereby and thereby does or will (a) contravene or conflict with the Company Certificate of Incorporation or the Company Bylaws or the organizational or constitutive documents of any other member of the Company Group, (b) contravene or conflict with or constitute a violation of any provision of any Law or Order binding upon or applicable to any member of the Company Group or to any of their respective properties, rights or assets, (c) except for the Contracts listed on </w:t>
      </w:r>
      <w:r>
        <w:rPr>
          <w:rFonts w:ascii="Times New Roman" w:cs="Times New Roman" w:eastAsia="Times New Roman" w:hAnsi="Times New Roman"/>
          <w:sz w:val="18"/>
          <w:szCs w:val="18"/>
          <w:u w:val="single" w:color="auto"/>
          <w:color w:val="auto"/>
        </w:rPr>
        <w:t>Schedule 5.4</w:t>
      </w:r>
      <w:r>
        <w:rPr>
          <w:rFonts w:ascii="Times New Roman" w:cs="Times New Roman" w:eastAsia="Times New Roman" w:hAnsi="Times New Roman"/>
          <w:sz w:val="18"/>
          <w:szCs w:val="18"/>
          <w:color w:val="auto"/>
        </w:rPr>
        <w:t xml:space="preserve"> of the Company Disclosure Schedules requiring consent (but only as to the need to obtain such consent), (i) require consent, approval or waiver under, (ii) constitute a default under or breach of (with or without the giving of notice or the passage of time or both), (iii) violate, or (iv) give rise to any right of termination, cancellation, amendment or acceleration of any right or obligation of the Company Group or to a loss of any material benefit to which any member of the Company Group is entitled, in the case of each of clauses (i) – (iv), under any provision of any Material Contract, (d) result in the creation or imposition of any Lien (except for Permitted Liens) on any of the Company Group’s properties, rights or assets, in the cases of clauses (c) and (d), other than as would not be reasonably expected to, individually or in the aggregate, have a Material Adverse Effect in respect of the Company Group.</w:t>
      </w:r>
    </w:p>
    <w:p>
      <w:pPr>
        <w:spacing w:after="0" w:line="19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8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capital stock of the Company consists of 100,000,000 shares of Company Common Stock, par value $0.0001 per share, and 75,000,000 shares of Company Preferred Stock, par value $0.0001 per share, of which 20,000,000 are designated as Series A Preferred Stock, 4,200,000 are designated as Series B Preferred Stock, 2,800,000 are designated as Series B-1 Preferred Stock, 15,000,000 are designated as Series C Preferred Stock, 6,100,000 are designated as Series D-1 Preferred Stock, and 25,000,000 are designated as Series D-2 Preferred Stock. As of the date of this Agreement, 2,836,734 shares of Company Common Stock are issued and outstanding and 14,500,549 shares of Company Preferred Stock are issued and outstanding, of which [•] shares are Series A Preferred Stock, [•] shares are Series B Preferred Stock, [•] shares are Series B-1 Preferred Stock, [•] shares are Series C Preferred Stock, [•] shares are Series D-1 Preferred Stock, and [•] shares are Series D-2 Preferred Stock. There are [•] shares of Company Common Stock reserved for issuance under the Equity Incentive Plan, of which (i) [no] shares have been issued pursuant to restricted stock purchase agreements, (ii) [•] shares have been issued pursuant to the exercise of outstanding options, and (iii) [•] shares of Company Common Stock are reserved for issuance pursuant to outstanding unexercised Company Options. No other shares of capital stock or other voting securities of the Company are authorized, issued, reserved for issuance or outstanding. All issued and outstanding shares of Company Common Stock and Company Preferred Stock are duly authorized, validly issued, fully paid and non-assessable and were issued in compliance with all applicable Laws (including any applicable securities laws) and in compliance with the Company Certificate of Incorporation and the Company Bylaws. No shares of Company Common Stock or Company Preferred Stock are subject to or were issued in violation of any purchase option, right of first refusal, preemptive right, subscription right or any similar right (including under any provision of the DGCL, the Company Certificate of Incorporation or any Contract to which the Company is a party or by which the Company or any of its properties, rights or assets are bound). As of the date of this Agreement, all outstanding shares of Company Capital Stock are owned of record by the Persons set forth on </w:t>
      </w:r>
      <w:r>
        <w:rPr>
          <w:rFonts w:ascii="Times New Roman" w:cs="Times New Roman" w:eastAsia="Times New Roman" w:hAnsi="Times New Roman"/>
          <w:sz w:val="18"/>
          <w:szCs w:val="18"/>
          <w:u w:val="single" w:color="auto"/>
          <w:color w:val="auto"/>
        </w:rPr>
        <w:t>Schedule 5.5(a)</w:t>
      </w:r>
      <w:r>
        <w:rPr>
          <w:rFonts w:ascii="Times New Roman" w:cs="Times New Roman" w:eastAsia="Times New Roman" w:hAnsi="Times New Roman"/>
          <w:sz w:val="18"/>
          <w:szCs w:val="18"/>
          <w:color w:val="auto"/>
        </w:rPr>
        <w:t xml:space="preserve"> of the Company Disclosure Schedules in the amounts set forth opposite their respective names. The aggregate subscription price paid for shares of Series D-1 Preferred Stock and Series D-2 Preferred Stock as of the date hereof is not in excess of $110 million. </w:t>
      </w:r>
      <w:r>
        <w:rPr>
          <w:rFonts w:ascii="Times New Roman" w:cs="Times New Roman" w:eastAsia="Times New Roman" w:hAnsi="Times New Roman"/>
          <w:sz w:val="18"/>
          <w:szCs w:val="18"/>
          <w:u w:val="single" w:color="auto"/>
          <w:color w:val="auto"/>
        </w:rPr>
        <w:t>Schedule 5.5(a)</w:t>
      </w:r>
      <w:r>
        <w:rPr>
          <w:rFonts w:ascii="Times New Roman" w:cs="Times New Roman" w:eastAsia="Times New Roman" w:hAnsi="Times New Roman"/>
          <w:sz w:val="18"/>
          <w:szCs w:val="18"/>
          <w:color w:val="auto"/>
        </w:rPr>
        <w:t xml:space="preserve"> of the Company Disclosure Schedules contains a true, correct and complete list of (1) each Company Option outstanding as of the date of this Agreement, the holder thereof, the number of shares of Company Common Stock issuable thereunder or otherwise subject thereto, the grant date thereof and the exercise price and expiration date thereof, and (2) each Company Warrant outstanding as of the date of this Agreement, the holder thereof, the number of shares of Company Common Stock or Company Preferred Stock issuable thereunder or otherwise subject thereto, the grant date thereof and the exercise price and expiration date thereof.</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both"/>
        <w:ind w:firstLine="1304"/>
        <w:spacing w:after="0" w:line="253" w:lineRule="auto"/>
        <w:tabs>
          <w:tab w:leader="none" w:pos="20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Company Options and the Company Warrants, there are no (i) outstanding warrants, options, agreements, convertible securities, performance units or other commitments or instruments pursuant to which the Company is or may become obligated to issue or sell any of its shares of Company Capital Stock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(including pursuant to any provision of Law, the Company Certificate of Incorporation or any Contract to which the Company is a party), or (vi) Liens (including any right of first refusal, right of first offer, proxy, voting trust, voting agreement or similar arrangement) with respect to the sale or voting of shares or securities of the Company (whether outstanding or issuable). There are no issued, outstanding or authorized stock appreciation, phantom stock or similar rights with respect to the Company.</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3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(i) was granted in compliance in all material respects with (A) all applicable Laws and (B) all of the terms and conditions of the Equity Incentive Plan pursuant to which it was issued, (ii) has an exercise price per share of Company Common Stock equal to or greater than the fair market value of such share at the close of business on the date of such grant, and (iii) has a grant date identical to the date on which the Board of Directors of the Company or compensation committee actually awarded such Company Option.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rights or obligations by any holder of Company Preferred Stock pursuant to Sections 2.1(a), 2.1(c) and 2.1(d) of that certain Investors’ Rights Agreement, dated May 31, 2018, by and among the Company and the investors signatory thereto arising as a result of the Company’s issuance of Series D-1 Preferred Stock and Series D-2 Preferred Stock.</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5.6</w:t>
      </w:r>
      <w:r>
        <w:rPr>
          <w:rFonts w:ascii="Times New Roman" w:cs="Times New Roman" w:eastAsia="Times New Roman" w:hAnsi="Times New Roman"/>
          <w:sz w:val="18"/>
          <w:szCs w:val="18"/>
          <w:color w:val="auto"/>
        </w:rPr>
        <w:t xml:space="preserve"> of the Company Disclosure Schedules lists each Subsidiary of the Company (including its jurisdiction of incorporation or formation). All the issued and outstanding shares of capital stock of, or other equity interests in, each Subsidiary of the Company have been validly issued and are fully paid and non-assessable and are owned directly or indirectly by the Company free and clear of all Liens. Except for the Subsidiaries of the Company, the Company does not own, directly or indirectly, as of the date hereof, (i) any capital stock of, or other voting securities or other equity or voting interests in, any Person or (ii) any other interest or participation that confers on the Company or any Subsidiary of the Company the right to receive (A) a share of the profits and losses of, or distributions of assets of, any other Person or (B) any economic benefit or right similar to, or derived from, the economic benefits and rights occurring to holders of capital stock of any other Person.</w:t>
      </w:r>
    </w:p>
    <w:p>
      <w:pPr>
        <w:spacing w:after="0" w:line="18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201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delivered to Parent (a) the audited consolidated balance sheets of the Company, and the related statements of operations, changes in stockholders’ equity and cash flows, for the fiscal years ended December 31, 2020, December 31, 2019 and December 31, 2018, including the notes thereto (collectively, the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and (b) the unaudited consolidated balance sheet of the Company as of December 31, 2021 and the related statements of operations, changes in stockholders’ equity and cash flows for (i) the twelve (12)-month period ended December 31, 2021 and the three (3)-month period ended March 31, 2022 (the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together with the Annual Financial Statements,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The Company Financial Statements have been prepared in conformity with U.S. GAAP applied on a consistent basis throughout the periods indicated (except as may be indicated in the notes thereto) and in accordance with the requirements of the Public Company Accounting Oversight Board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for public companies. The Company Financial Statements fairly present, in all material respects, the consolidated financial position of the Company as of the dates thereof and the results of operations of the Company for the periods reflected therein except as otherwise specifically noted therein. The Company Financial Statements were prepared from the Books and Records of the Company Group in all material respects. Since March 31, 2022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18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specifically disclosed, reflected or fully reserved against on the Balance Sheet; (ii) for liabilities and obligations incurred in the ordinary course of business consistent with past practices since the Balance Sheet Date that are not material; (iii) for liabilities that are executory obligations arising under Contracts to which a member of the Company Group is a party (none of which, with respect to the liabilities described in clause (ii) and this clause (iii) results from, arises out of, or relates to any breach or violation of, or default under, a Contract or applicable Law); (iv) for expenses incurred in connection with the negotiation, execution and performance of this Agreement, any Additional Agreement or any of the transactions contemplated hereby or thereby; and (v) for liabilities set forth on </w:t>
      </w:r>
      <w:r>
        <w:rPr>
          <w:rFonts w:ascii="Times New Roman" w:cs="Times New Roman" w:eastAsia="Times New Roman" w:hAnsi="Times New Roman"/>
          <w:sz w:val="18"/>
          <w:szCs w:val="18"/>
          <w:u w:val="single" w:color="auto"/>
          <w:color w:val="auto"/>
        </w:rPr>
        <w:t>Schedule 5.7(b)</w:t>
      </w:r>
      <w:r>
        <w:rPr>
          <w:rFonts w:ascii="Times New Roman" w:cs="Times New Roman" w:eastAsia="Times New Roman" w:hAnsi="Times New Roman"/>
          <w:sz w:val="18"/>
          <w:szCs w:val="18"/>
          <w:color w:val="auto"/>
        </w:rPr>
        <w:t xml:space="preserve"> of the Company Disclosure Schedules and (vi) liabilities, debts or obligations that individually or in the aggregate would not be or would not reasonably be expected to be material to the Company Group, taken as a whole the Company Group does not have any liabilities, debts or obligations of any nature (whether accrued, fixed or contingent, liquidated or unliquidated, asserted or unasserted or otherwise) of the type to be set forth on a balance sheet in accordance with GAAP.</w:t>
      </w:r>
    </w:p>
    <w:p>
      <w:pPr>
        <w:spacing w:after="0" w:line="188"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5.7(c)</w:t>
      </w:r>
      <w:r>
        <w:rPr>
          <w:rFonts w:ascii="Times New Roman" w:cs="Times New Roman" w:eastAsia="Times New Roman" w:hAnsi="Times New Roman"/>
          <w:sz w:val="18"/>
          <w:szCs w:val="18"/>
          <w:color w:val="auto"/>
        </w:rPr>
        <w:t xml:space="preserve"> of the Company Disclosure Schedules, the Company Group does not have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The Company Group has established a system of internal accounting controls sufficient to provide, in all material respects, reasonable assurance that: (a) transactions are executed in accordance with management’s general or specific authorizations; and (b) transactions are recorded as necessary to permit preparation of financial statements in conformity with U.S. GAAP, and the Company Group’s historical practices and to maintain asset accountability.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From the Balance Sheet Date until the date of this Agreement, (a) the Company and each other member of the Company Group have conducted their respective businesses in the ordinary course and in a manner consistent with past practice; (b) there has not been any Material Adverse Effect in respect of the Company Group; and (c) neither the Company nor any other member of the Company Group has taken any action that, if taken after the date of this Agreement and prior to the consummation of the Merger, would require the consent of Parent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xml:space="preserve"> and Parent has not given consent.</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7"/>
          <w:szCs w:val="17"/>
          <w:u w:val="single" w:color="auto"/>
          <w:color w:val="auto"/>
        </w:rPr>
        <w:t>Properties; Title to the Company’s Assets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87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Tangible Personal Property have no defects, are in good operating condition and repair and function in accordance with their intended uses (ordinary wear and tear excepted), have been properly maintained and are suitable for their present uses and meet all specifications and warranty requirements with respect thereto, other than as would not be reasonably expected to, individually or in the aggregate, have a Material Adverse Effect in respect of the Company Group.</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a Subsidiary has good, valid and marketable title in and to, or in the case of the Leases and the assets which are leased or licensed pursuant to Contracts, a valid leasehold interest or license in or a right to use all of the tangible assets reflected on the Balance Sheet. Except as set forth on </w:t>
      </w:r>
      <w:r>
        <w:rPr>
          <w:rFonts w:ascii="Times New Roman" w:cs="Times New Roman" w:eastAsia="Times New Roman" w:hAnsi="Times New Roman"/>
          <w:sz w:val="18"/>
          <w:szCs w:val="18"/>
          <w:u w:val="single" w:color="auto"/>
          <w:color w:val="auto"/>
        </w:rPr>
        <w:t>Schedule 5.10(b)</w:t>
      </w:r>
      <w:r>
        <w:rPr>
          <w:rFonts w:ascii="Times New Roman" w:cs="Times New Roman" w:eastAsia="Times New Roman" w:hAnsi="Times New Roman"/>
          <w:sz w:val="18"/>
          <w:szCs w:val="18"/>
          <w:color w:val="auto"/>
        </w:rPr>
        <w:t xml:space="preserve"> of the Company Disclosure Schedules, no such tangible asset is subject to any Lien other than Permitted Liens.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hereof, there is no Action pending or, to the Knowledge of the Company, threatened against any member of the Company Group, or any of the officers or directors of any member of the Company Group in their capacity as an officer or director, or which in any manner challenges or seeks to prevent, enjoin, alter or delay the transactions contemplated by this Agreement or any Additional Agreement, other than such Actions that, if adversely decided or resolved, would not be reasonably expected to, individually or in the aggregate, be material to the Company Group taken as a whole. As of the date hereof, there are no outstanding judgments against any member of the Company Group or any of its respective rights, properties or assets that would reasonably to be expected to have a material adverse effect on the ability of the Company to enter into and perform its obligations under this Agreement. As of the date hereof, no member of the Company Group or any of its respective rights, properties or assets is, nor has been since January 1, 2019, subject to any Action by any Authority that, if adversely determined, would be material to the Company Group taken as a whole.</w:t>
      </w:r>
    </w:p>
    <w:p>
      <w:pPr>
        <w:spacing w:after="0" w:line="18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21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5.12(a)</w:t>
      </w:r>
      <w:r>
        <w:rPr>
          <w:rFonts w:ascii="Times New Roman" w:cs="Times New Roman" w:eastAsia="Times New Roman" w:hAnsi="Times New Roman"/>
          <w:sz w:val="18"/>
          <w:szCs w:val="18"/>
          <w:color w:val="auto"/>
        </w:rPr>
        <w:t xml:space="preserve"> of the Company Disclosure Schedules sets forth a true, complete and accurate list, as of the date of this Agreement, of all of the following Contracts to which any member of the Company Group is a party as amended to date which are currently in effect (collectively,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firstLine="1292"/>
        <w:spacing w:after="0" w:line="312" w:lineRule="auto"/>
        <w:tabs>
          <w:tab w:leader="none" w:pos="2441" w:val="left"/>
        </w:tabs>
        <w:numPr>
          <w:ilvl w:val="1"/>
          <w:numId w:val="3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all Contracts that require annual payments or expenses incurred by, or annual payments or income to, the Company Group of $250,000 or more (other than standard purchase and sale orders entered into in the ordinary course of business consistent with past practices);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ind w:left="1500" w:hanging="668"/>
        <w:spacing w:after="0"/>
        <w:tabs>
          <w:tab w:leader="none" w:pos="1500"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sales, advertising, agency, sales promotion, market research, marketing or similar Contracts;</w:t>
      </w:r>
    </w:p>
    <w:p>
      <w:pPr>
        <w:spacing w:after="0" w:line="225" w:lineRule="exact"/>
        <w:rPr>
          <w:rFonts w:ascii="Times New Roman" w:cs="Times New Roman" w:eastAsia="Times New Roman" w:hAnsi="Times New Roman"/>
          <w:sz w:val="18"/>
          <w:szCs w:val="18"/>
          <w:color w:val="010000"/>
        </w:rPr>
      </w:pPr>
    </w:p>
    <w:p>
      <w:pPr>
        <w:jc w:val="both"/>
        <w:ind w:left="-460" w:firstLine="1292"/>
        <w:spacing w:after="0" w:line="256" w:lineRule="auto"/>
        <w:tabs>
          <w:tab w:leader="none" w:pos="1520"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Contract with any current officer, director, employee or consultant of any member of the Company Group, under which the Company Group (A) has continuing obligations for payment of an annual compensation of at least $200,000, and which is not terminable for any reason or no reason upon reasonable notice without payment of any penalty, severance or other obligation; (B) has material severance or post-termination obligations to such Person (other than COBRA or obligations or amounts reflecting no more than as may be required under applicable Law); or (C) has an obligation to make a payment upon consummation of the transactions contemplated by this Agreement or any Additional Agreement or as a result of a Change in Control of the Company;</w:t>
      </w:r>
    </w:p>
    <w:p>
      <w:pPr>
        <w:spacing w:after="0" w:line="187" w:lineRule="exact"/>
        <w:rPr>
          <w:rFonts w:ascii="Times New Roman" w:cs="Times New Roman" w:eastAsia="Times New Roman" w:hAnsi="Times New Roman"/>
          <w:sz w:val="18"/>
          <w:szCs w:val="18"/>
          <w:color w:val="010000"/>
        </w:rPr>
      </w:pPr>
    </w:p>
    <w:p>
      <w:pPr>
        <w:ind w:left="-460" w:firstLine="1292"/>
        <w:spacing w:after="0" w:line="282" w:lineRule="auto"/>
        <w:tabs>
          <w:tab w:leader="none" w:pos="1411"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Contracts creating a joint venture, strategic alliance or similar limited liability company or partnership arrangement to which the Company Group is a party;</w:t>
      </w:r>
    </w:p>
    <w:p>
      <w:pPr>
        <w:spacing w:after="0" w:line="161" w:lineRule="exact"/>
        <w:rPr>
          <w:rFonts w:ascii="Times New Roman" w:cs="Times New Roman" w:eastAsia="Times New Roman" w:hAnsi="Times New Roman"/>
          <w:sz w:val="18"/>
          <w:szCs w:val="18"/>
          <w:color w:val="010000"/>
        </w:rPr>
      </w:pPr>
    </w:p>
    <w:p>
      <w:pPr>
        <w:ind w:left="-460" w:firstLine="1292"/>
        <w:spacing w:after="0" w:line="282" w:lineRule="auto"/>
        <w:tabs>
          <w:tab w:leader="none" w:pos="1388"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Contracts relating to any acquisitions or dispositions of material real or tangible or intangible assets by the Company Group (other than acquisitions or dispositions of inventory in the ordinary course of business consistent with past practices);</w:t>
      </w:r>
    </w:p>
    <w:p>
      <w:pPr>
        <w:spacing w:after="0" w:line="161" w:lineRule="exact"/>
        <w:rPr>
          <w:rFonts w:ascii="Times New Roman" w:cs="Times New Roman" w:eastAsia="Times New Roman" w:hAnsi="Times New Roman"/>
          <w:sz w:val="18"/>
          <w:szCs w:val="18"/>
          <w:color w:val="010000"/>
        </w:rPr>
      </w:pPr>
    </w:p>
    <w:p>
      <w:pPr>
        <w:ind w:left="1460" w:hanging="628"/>
        <w:spacing w:after="0"/>
        <w:tabs>
          <w:tab w:leader="none" w:pos="1460"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IP Contracts;</w:t>
      </w:r>
    </w:p>
    <w:p>
      <w:pPr>
        <w:spacing w:after="0" w:line="225" w:lineRule="exact"/>
        <w:rPr>
          <w:rFonts w:ascii="Times New Roman" w:cs="Times New Roman" w:eastAsia="Times New Roman" w:hAnsi="Times New Roman"/>
          <w:sz w:val="18"/>
          <w:szCs w:val="18"/>
          <w:color w:val="010000"/>
        </w:rPr>
      </w:pPr>
    </w:p>
    <w:p>
      <w:pPr>
        <w:ind w:left="-460" w:firstLine="1292"/>
        <w:spacing w:after="0" w:line="282" w:lineRule="auto"/>
        <w:tabs>
          <w:tab w:leader="none" w:pos="1429"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Contracts limiting the freedom of any member of the Company Group in any material respect to compete in any line of business or industry, with any Person or in any geographic area;</w:t>
      </w:r>
    </w:p>
    <w:p>
      <w:pPr>
        <w:spacing w:after="0" w:line="161" w:lineRule="exact"/>
        <w:rPr>
          <w:rFonts w:ascii="Times New Roman" w:cs="Times New Roman" w:eastAsia="Times New Roman" w:hAnsi="Times New Roman"/>
          <w:sz w:val="18"/>
          <w:szCs w:val="18"/>
          <w:color w:val="010000"/>
        </w:rPr>
      </w:pPr>
    </w:p>
    <w:p>
      <w:pPr>
        <w:ind w:left="1460" w:hanging="628"/>
        <w:spacing w:after="0"/>
        <w:tabs>
          <w:tab w:leader="none" w:pos="1460"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all Contracts set forth on </w:t>
      </w:r>
      <w:r>
        <w:rPr>
          <w:rFonts w:ascii="Times New Roman" w:cs="Times New Roman" w:eastAsia="Times New Roman" w:hAnsi="Times New Roman"/>
          <w:sz w:val="18"/>
          <w:szCs w:val="18"/>
          <w:u w:val="single" w:color="auto"/>
          <w:color w:val="auto"/>
        </w:rPr>
        <w:t>Schedule 5.27</w:t>
      </w:r>
      <w:r>
        <w:rPr>
          <w:rFonts w:ascii="Times New Roman" w:cs="Times New Roman" w:eastAsia="Times New Roman" w:hAnsi="Times New Roman"/>
          <w:sz w:val="18"/>
          <w:szCs w:val="18"/>
          <w:color w:val="auto"/>
        </w:rPr>
        <w:t xml:space="preserve"> of the Company Disclosure Schedules;</w:t>
      </w:r>
    </w:p>
    <w:p>
      <w:pPr>
        <w:spacing w:after="0" w:line="225" w:lineRule="exact"/>
        <w:rPr>
          <w:rFonts w:ascii="Times New Roman" w:cs="Times New Roman" w:eastAsia="Times New Roman" w:hAnsi="Times New Roman"/>
          <w:sz w:val="18"/>
          <w:szCs w:val="18"/>
          <w:color w:val="010000"/>
        </w:rPr>
      </w:pPr>
    </w:p>
    <w:p>
      <w:pPr>
        <w:jc w:val="both"/>
        <w:ind w:left="-460" w:right="20" w:firstLine="1292"/>
        <w:spacing w:after="0" w:line="266" w:lineRule="auto"/>
        <w:tabs>
          <w:tab w:leader="none" w:pos="1478"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Contracts relating to real property or tangible assets (whether real or personal, tangible or intangible) in which any member of the Company Group holds a leasehold interest (including the Lease) and which involve payments to the lessor thereunder in excess of $250,000 per year;</w:t>
      </w:r>
    </w:p>
    <w:p>
      <w:pPr>
        <w:spacing w:after="0" w:line="175" w:lineRule="exact"/>
        <w:rPr>
          <w:rFonts w:ascii="Times New Roman" w:cs="Times New Roman" w:eastAsia="Times New Roman" w:hAnsi="Times New Roman"/>
          <w:sz w:val="18"/>
          <w:szCs w:val="18"/>
          <w:color w:val="010000"/>
        </w:rPr>
      </w:pPr>
    </w:p>
    <w:p>
      <w:pPr>
        <w:ind w:left="1500" w:hanging="668"/>
        <w:spacing w:after="0"/>
        <w:tabs>
          <w:tab w:leader="none" w:pos="1500"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Contracts creating or otherwise relating to outstanding Indebtedness (other than intercompany Indebtedness);</w:t>
      </w:r>
    </w:p>
    <w:p>
      <w:pPr>
        <w:spacing w:after="0" w:line="225" w:lineRule="exact"/>
        <w:rPr>
          <w:rFonts w:ascii="Times New Roman" w:cs="Times New Roman" w:eastAsia="Times New Roman" w:hAnsi="Times New Roman"/>
          <w:sz w:val="18"/>
          <w:szCs w:val="18"/>
          <w:color w:val="010000"/>
        </w:rPr>
      </w:pPr>
    </w:p>
    <w:p>
      <w:pPr>
        <w:jc w:val="both"/>
        <w:ind w:left="-460" w:firstLine="1292"/>
        <w:spacing w:after="0" w:line="266" w:lineRule="auto"/>
        <w:tabs>
          <w:tab w:leader="none" w:pos="1559"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Contracts relating to the voting or control of the equity interests of any member of the Company Group or the election of directors of any member of the Company Group (other than the organizational or constitutive documents of any member of the Company Group);</w:t>
      </w:r>
    </w:p>
    <w:p>
      <w:pPr>
        <w:spacing w:after="0" w:line="175" w:lineRule="exact"/>
        <w:rPr>
          <w:rFonts w:ascii="Times New Roman" w:cs="Times New Roman" w:eastAsia="Times New Roman" w:hAnsi="Times New Roman"/>
          <w:sz w:val="18"/>
          <w:szCs w:val="18"/>
          <w:color w:val="010000"/>
        </w:rPr>
      </w:pPr>
    </w:p>
    <w:p>
      <w:pPr>
        <w:ind w:left="-460" w:firstLine="1292"/>
        <w:spacing w:after="0" w:line="282" w:lineRule="auto"/>
        <w:tabs>
          <w:tab w:leader="none" w:pos="1510"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Contracts not cancellable by the Company Group with no more than sixty (60) days’ notice if the effect of such cancellation would result in monetary penalty to the Company Group in excess of $250,000 per the terms of such contract;</w:t>
      </w:r>
    </w:p>
    <w:p>
      <w:pPr>
        <w:spacing w:after="0" w:line="161" w:lineRule="exact"/>
        <w:rPr>
          <w:rFonts w:ascii="Times New Roman" w:cs="Times New Roman" w:eastAsia="Times New Roman" w:hAnsi="Times New Roman"/>
          <w:sz w:val="18"/>
          <w:szCs w:val="18"/>
          <w:color w:val="010000"/>
        </w:rPr>
      </w:pPr>
    </w:p>
    <w:p>
      <w:pPr>
        <w:jc w:val="both"/>
        <w:ind w:left="-460" w:firstLine="1292"/>
        <w:spacing w:after="0" w:line="266" w:lineRule="auto"/>
        <w:tabs>
          <w:tab w:leader="none" w:pos="1430"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Contracts under which any of the benefits, compensation or payments (or the vesting thereof) will be increased or accelerated by the consummation of the transactions contemplated by this Agreement or any Additional Agreement, or the amount or value thereof will be calculated on the basis of, the transactions contemplated by this Agreement or any Additional Agreement; and</w:t>
      </w:r>
    </w:p>
    <w:p>
      <w:pPr>
        <w:spacing w:after="0" w:line="34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9" w:name="page50"/>
    <w:bookmarkEnd w:id="49"/>
    <w:p>
      <w:pPr>
        <w:ind w:left="2620" w:hanging="668"/>
        <w:spacing w:after="0"/>
        <w:tabs>
          <w:tab w:leader="none" w:pos="2620" w:val="left"/>
        </w:tabs>
        <w:numPr>
          <w:ilvl w:val="1"/>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collective bargaining agreements or other agreement with a labor union or labor organization.</w:t>
      </w:r>
    </w:p>
    <w:p>
      <w:pPr>
        <w:spacing w:after="0" w:line="225" w:lineRule="exact"/>
        <w:rPr>
          <w:rFonts w:ascii="Times New Roman" w:cs="Times New Roman" w:eastAsia="Times New Roman" w:hAnsi="Times New Roman"/>
          <w:sz w:val="18"/>
          <w:szCs w:val="18"/>
          <w:color w:val="010000"/>
        </w:rPr>
      </w:pPr>
    </w:p>
    <w:p>
      <w:pPr>
        <w:jc w:val="both"/>
        <w:ind w:firstLine="1304"/>
        <w:spacing w:after="0" w:line="256" w:lineRule="auto"/>
        <w:tabs>
          <w:tab w:leader="none" w:pos="202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is (i) a valid and binding agreement on the applicable Company Group member, (ii) in full force and effect and (iii) enforceable by and against the Company or its Subsidiary and each counterparty that is party thereto, subject, in the case of this clause (iii), to the Enforceability Exceptions. Neither the Company Group nor, to the Company’s Knowledge, any other party to a Material Contract is in material breach or default (whether with or without the passage of time or the giving of notice or both) under the terms of any such Material Contract. The Company Group has not assigned, delegated or otherwise transferred any of its rights or obligations under any Material Contract or granted any power of attorney with respect thereto.</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of the Company Disclosure Schedules sets forth a true, complete and correct list of each license, franchise, permit, order or approval or other similar authorization required under applicable Law to carry out or otherwise affecting, or relating in any way to, the Business, together with the name of the Authority issuing the same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Except as would not be reasonably expected to, individually or in the aggregate, have a Material Adverse Effect in respect of the Company Group (a) such Permits are valid and in full force and effect, and none of the Permits will be terminated or impaired or become terminable as a result of the transactions contemplated by this Agreement or any Additional Agreement and (b) the Company is not in material breach or violation of, or material default under, any such Permit. The Company has not received any written (or, to the Company’s Knowledge, oral) notice from any Authority asserting any material violation of any Permit.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Group (a) is not in violation of, and, since January 1, 2019, no such Person has failed to be in compliance with, all applicable Laws and Orders and (b) since January 1, 2019, the Company Group has not been threatened in writing by, or given written notice of, any violation of any Law or Order by any Authority, in each case, other than as would not be reasonably expected to, individually or in the aggregate, be material to the Company Group taken as a whole.</w:t>
      </w:r>
    </w:p>
    <w:p>
      <w:pPr>
        <w:spacing w:after="0" w:line="18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0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is the sole and exclusive owner of each item of Company Owned IP, free and clear of any Liens. To the Knowledge of the Company, the Company Group has a valid right to use the Company Licensed IP as currently used by the Company Group and as currently contemplated to be used by the Company Group as established by the written records of the Company Group.</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5.15(b)</w:t>
      </w:r>
      <w:r>
        <w:rPr>
          <w:rFonts w:ascii="Times New Roman" w:cs="Times New Roman" w:eastAsia="Times New Roman" w:hAnsi="Times New Roman"/>
          <w:sz w:val="18"/>
          <w:szCs w:val="18"/>
          <w:color w:val="auto"/>
        </w:rPr>
        <w:t xml:space="preserve"> of the Company Disclosure Schedules sets forth a true, correct and complete list of all (i) Registered Owned IP, accurately specifying as to each of the foregoing, as applicable: (A) the application number and issuance or registration number; (B) the owner thereof; (C) the jurisdictions by or in which such Registered Owned IP has been issued, registered, or in which an application for such issuance or registration has been filed, (ii) Domain Names constituting Company Owned IP; and (iii) a description of all material Software constituting Company Owned IP.</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Registered Owned IP is subsisting and, to the Knowledge of the Company, to the extent it is registered, is, valid and enforceable. All Persons (including members of the Company Group) have, in connection with the prosecution of all Patents before the United States Patent and Trademark Office and other similar offices in other jurisdictions complied with the applicable obligations of candor owed to the United States Patent and Trademark Office and such other offices. No Registered Owned IP is or has in the past three (3) years been involved in any interference, opposition, reissue, reexamination, revocation or equivalent proceeding, and no such proceeding has in the past three (3) years been threatened in writing with respect thereto. In the past three (3) years, there have been no claims filed, served or threatened in writing, or, to the Knowledge of the Company, orally threatened, against the Company contesting the validity, use, ownership, enforceability, patentability, registrability, or scope of any Registered Owned IP. All registration, maintenance and renewal fees required in connection with any Registered Owned IP have been paid, and, to the Knowledge of the Company, all material documents, recordations and certificates in connection therewith have been filed with the authorities in the United States or foreign jurisdictions, as the case may be, for the purposes of prosecuting, maintaining, and perfecting such rights and recording the Company Group’s ownership or interests therein.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both"/>
        <w:ind w:firstLine="1304"/>
        <w:spacing w:after="0" w:line="254" w:lineRule="auto"/>
        <w:tabs>
          <w:tab w:leader="none" w:pos="184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the Business as currently conducted, as currently proposed to be conducted as established by the written records of the Company Group, and as conducted in the past four (4) years do not infringe, misappropriate or otherwise violate any Intellectual Property Right of any third Person. In the past three (3) years, there have been no claims filed, served or threatened in writing, or, to the Knowledge of the Company, orally threatened, against any member of the Company Group alleging any infringement, misappropriation, or other violation of any Intellectual Property of a third Person (including any unsolicited written offers to license any such Intellectual Property, other than generally commercially available Software). There are no Actions pending involving a claim against a member of the Company Group by a third Person alleging infringement or misappropriation of such third Person’s Intellectual Property. To the Knowledge of the Company, in the past six (6) years, no third Person has infringed, misappropriated, or otherwise violated any Company Owned IP.</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6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(3) years, no member of the Company Group has filed, served, or threatened a third Person in writing with any claims alleging any infringement, misappropriation, or other violation of any Company IP. There are no Actions pending involving a claim against a third Person by a member of the Company Group alleging infringement or misappropriation of Company IP. The Company Group is not subject to any Order specifically naming any member of the Company Group that adversely restricts the use, transfer, registration or licensing of any such Intellectual Property by the Company Group (other than ordinary course office actions and like proceedings before or with respect to the United States Patent and Trademark Office and other similar offices in other jurisdictions).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4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Schedule 5.15(f)</w:t>
      </w:r>
      <w:r>
        <w:rPr>
          <w:rFonts w:ascii="Times New Roman" w:cs="Times New Roman" w:eastAsia="Times New Roman" w:hAnsi="Times New Roman"/>
          <w:sz w:val="18"/>
          <w:szCs w:val="18"/>
          <w:color w:val="auto"/>
        </w:rPr>
        <w:t xml:space="preserve"> of the Company Disclosure Schedules, each employee, agent, consultant, and contractor who has contributed to or participated in the creation or development of any material Intellectual Property on behalf of the Company Group or any predecessor in interest thereto has executed a proprietary information and/or inventions assignment agreement or similar written Contract with the Company Group under which such Person: (i) has assigned all right, title and interest in and to such Intellectual Property to the Company Group (or such predecessor in interest, as applicable); and (ii) is obligated to maintain the confidentiality of the Company Group’s Confidential Information both during and after the term of such Person’s employment or engagement and the Company Group has made available to Parent all such proprietary information and/or inventions assignment agreements. To the extent any such proprietary information and/or inventions assignment agreement or other similar written Contract permitted such employee, agent, consultant, and contractor to exclude from the scope of such agreement or Contract any Intellectual Property in existence prior to the date of the employment or relationship, no such employee, agent, consultant, and contractor excluded Intellectual Property that was related to the Business. To the Knowledge of the Company, no employee, agent, consultant or contractor of the Company Group is or has been in violation of any term of any such Contract.</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0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government funding or facility of a university, college, other educational institution or research center was used in the development of any item of Company Owned IP. Except as disclosed on </w:t>
      </w:r>
      <w:r>
        <w:rPr>
          <w:rFonts w:ascii="Times New Roman" w:cs="Times New Roman" w:eastAsia="Times New Roman" w:hAnsi="Times New Roman"/>
          <w:sz w:val="18"/>
          <w:szCs w:val="18"/>
          <w:u w:val="single" w:color="auto"/>
          <w:color w:val="auto"/>
        </w:rPr>
        <w:t>Schedule 5.15(g)</w:t>
      </w:r>
      <w:r>
        <w:rPr>
          <w:rFonts w:ascii="Times New Roman" w:cs="Times New Roman" w:eastAsia="Times New Roman" w:hAnsi="Times New Roman"/>
          <w:sz w:val="18"/>
          <w:szCs w:val="18"/>
          <w:color w:val="auto"/>
        </w:rPr>
        <w:t xml:space="preserve"> of the Company Disclosure Schedules, no current or former employee or, to the Knowledge of the Company, agent, consultant, and contractor who has contributed to or participated in the creation or development of any Intellectual Property on behalf of the Company Group or any predecessor in interest thereto performed services for any educational institution or research center during a period of time during which such individual was also performing services for any member of the Company Group or any predecessor in interest thereto.</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both"/>
        <w:ind w:firstLine="1304"/>
        <w:spacing w:after="0" w:line="256" w:lineRule="auto"/>
        <w:tabs>
          <w:tab w:leader="none" w:pos="18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by the Company of this Agreement or any of the Additional Agreements to which the Company is or will be a party or the consummation by the Company of the transactions contemplated hereby or thereby will, under any Contract binding on the Company Group or, to the Knowledge of the Company, any other Contract: (i) cause any item of Company Owned IP, or any material item of Company Licensed IP immediately prior to the Closing, to not be owned, licensed or available for use by the Company Group on substantially the same terms and conditions immediately following the Closing or (ii) require any additional payment obligations by the Company Group in order to use or exploit any other such Intellectual Property to the same extent as the Company Group was permitted immediately before the Closing.</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Contracts licensed on </w:t>
      </w:r>
      <w:r>
        <w:rPr>
          <w:rFonts w:ascii="Times New Roman" w:cs="Times New Roman" w:eastAsia="Times New Roman" w:hAnsi="Times New Roman"/>
          <w:sz w:val="18"/>
          <w:szCs w:val="18"/>
          <w:u w:val="single" w:color="auto"/>
          <w:color w:val="auto"/>
        </w:rPr>
        <w:t>Schedule 5.15(i)</w:t>
      </w:r>
      <w:r>
        <w:rPr>
          <w:rFonts w:ascii="Times New Roman" w:cs="Times New Roman" w:eastAsia="Times New Roman" w:hAnsi="Times New Roman"/>
          <w:sz w:val="18"/>
          <w:szCs w:val="18"/>
          <w:color w:val="auto"/>
        </w:rPr>
        <w:t xml:space="preserve"> of the Company Disclosure Schedules, the Company Group is not obligated under any Contract to make any payments by way of royalties, fees, or otherwise to any owner or licensor of, or other claimant to, any Intellectual Property.</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4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exercised reasonable efforts necessary to maintain, protect and enforce the secrecy, confidentiality and value of all trade secrets constituting Company Owned IP and all other material Confidential Information. No Software constituting Company Owned IP is subject to any source code escrow arrangement or obligation. No person other than the Company Group and their employees and contractors (i) has a right to access or possess any source code of the Software constituting the Company Owned IP, or (ii) will be entitled to obtain access to or possession of such source code as a result of the execution, delivery and performance of by the Company of this Agreement. The Company Group is in actual possession and control of the source code of any Software constituting Company Owned IP and all related documentation and materials.</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a public-facing privacy policy regarding the collection, use or disclosure of data in connection with the operation of the business as currently conducted (the “</w:t>
      </w:r>
      <w:r>
        <w:rPr>
          <w:rFonts w:ascii="Times New Roman" w:cs="Times New Roman" w:eastAsia="Times New Roman" w:hAnsi="Times New Roman"/>
          <w:sz w:val="18"/>
          <w:szCs w:val="18"/>
          <w:u w:val="single" w:color="auto"/>
          <w:color w:val="auto"/>
        </w:rPr>
        <w:t>Privacy Policy</w:t>
      </w:r>
      <w:r>
        <w:rPr>
          <w:rFonts w:ascii="Times New Roman" w:cs="Times New Roman" w:eastAsia="Times New Roman" w:hAnsi="Times New Roman"/>
          <w:sz w:val="18"/>
          <w:szCs w:val="18"/>
          <w:color w:val="auto"/>
        </w:rPr>
        <w:t>”). The Privacy Policy accurately describes the Company Group’s data collection, disclosure and use practices, complies with all Laws, and is consistent with good industry practice.</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8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Processing of any Personal Information, the Company is and has been in compliance with all applicable Laws, including without limitation all Data Protection Laws and Laws related to data loss, theft, and security breach notification obligations, and there has been no unauthorized disclosure of any Personal Information for which the Company would be required to make a report to any Authority, a data subject, or any other Person. In addition, the Company Group has in place, and for the past three (3) years has had in place, commercially reasonable policies (including the Privacy Policy and any other internal and external privacy policies), rules, and procedures regarding the Company’s collection, use, disclosure, disposal, dissemination, storage, protection and other Processing of Personal Information. The Company Group has complied in all respects with such privacy policies, rules, and procedures in connection with any collection, use, or disclosure by the Company Group of any Personal Information of any Person. The Company Group has not been subject to, and there are no, complaints to or audits, proceedings, investigations or claims pending against the Company Group by any Authority, or by any Person, in respect of the collection, use, storage disclosure or other Processing of Personal Information. The Company (i) has implemented commercially reasonable physical, technical, organization and administrative security measures and policies designed to protect all Personal Information of any Person accessed, Processed or maintained by the Company Group from unauthorized physical or virtual access, use, modification, acquisition, disclosure or other misuse, and (ii) requires by written contract all material third-party providers and other Persons who have or have had access to Personal Information, or who Process Personal Information on the Company Group’s behalf, to implement, appropriate security programs and policies consistent with the Data Protection Laws. Without limiting the generality of the foregoing, since January 1, 2019, the Company Group has not experienced any material loss, damage or unauthorized access, use, disclosure or modification, or breach of security of Personal Information maintained by or on behalf of the Company Group (including by any agent, subcontractor or vendor of the Company Group).</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both"/>
        <w:ind w:firstLine="1304"/>
        <w:spacing w:after="0" w:line="254" w:lineRule="auto"/>
        <w:tabs>
          <w:tab w:leader="none" w:pos="18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Company, the Software that constitutes Company Owned IP is free of all viruses, worms, Trojan horses and other material known contaminants and does not contain any bugs, errors, or problems of a material nature that would disrupt its operation or have an adverse impact on the operation of other Software. The Company Group has not incorporated Publicly Available Software into the Company Group’s products and services, and the Company Group has not distributed Publicly Available Software as part of the Company Group’s products and services, other than as set forth on </w:t>
      </w:r>
      <w:r>
        <w:rPr>
          <w:rFonts w:ascii="Times New Roman" w:cs="Times New Roman" w:eastAsia="Times New Roman" w:hAnsi="Times New Roman"/>
          <w:sz w:val="18"/>
          <w:szCs w:val="18"/>
          <w:u w:val="single" w:color="auto"/>
          <w:color w:val="auto"/>
        </w:rPr>
        <w:t>Schedule 5.15(m)</w:t>
      </w:r>
      <w:r>
        <w:rPr>
          <w:rFonts w:ascii="Times New Roman" w:cs="Times New Roman" w:eastAsia="Times New Roman" w:hAnsi="Times New Roman"/>
          <w:sz w:val="18"/>
          <w:szCs w:val="18"/>
          <w:color w:val="auto"/>
        </w:rPr>
        <w:t xml:space="preserve"> of the Company Disclosure Schedules. The Company Group is in material compliance with all Publicly Available Software license terms applicable to any Publicly Available Software licensed to or used by the Company Group. The Company Group has not used Publicly Available Software in a manner that subjects, in whole or in part, any Software constituting Company Owned IP to any Copyleft License obligations. The Company Group has not received any written (or, to the Knowledge of the Company, oral) notice from any Person that it is in breach of any license with respect to Publicly Available Software.</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implemented and maintained (or, where applicable, has required its vendors to maintain) reasonable security measures designed to protect, preserve and maintain the performance, security and integrity of all computers, servers, equipment, hardware, networks, Software and systems owned by or under the control of the Company Group and used in connection with the operation of the Business, as well as any data stored thereon or processed thereby (the “</w:t>
      </w:r>
      <w:r>
        <w:rPr>
          <w:rFonts w:ascii="Times New Roman" w:cs="Times New Roman" w:eastAsia="Times New Roman" w:hAnsi="Times New Roman"/>
          <w:sz w:val="18"/>
          <w:szCs w:val="18"/>
          <w:u w:val="single" w:color="auto"/>
          <w:color w:val="auto"/>
        </w:rPr>
        <w:t>Company Information Systems</w:t>
      </w:r>
      <w:r>
        <w:rPr>
          <w:rFonts w:ascii="Times New Roman" w:cs="Times New Roman" w:eastAsia="Times New Roman" w:hAnsi="Times New Roman"/>
          <w:sz w:val="18"/>
          <w:szCs w:val="18"/>
          <w:color w:val="auto"/>
        </w:rPr>
        <w:t>”). The Company Group has implemented and maintained appropriate disaster recovery and business continuity plans, procedures and facilities, including with respect to all Company Information Systems. Neither the Company nor any of its Subsidiaries has experienced within the past three (3) years any material disruption to, or material interruption in, the conduct of its business attributable to a defect, error, or other failure or deficiency of any Company Information System.</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has been no unauthorized access to or use of the Company Information Systems, nor has there been any downtime or unavailability of the Company Information Systems that resulted in a material disruption of the Business. The Company Information Systems, together with the other computers, servers, equipment, hardware, networks, Software and systems used by the Company Group, are adequate for the operations of the Business as currently conducted. There has been no failure with respect to any Company Information System that has had a material effect on the operations of the Company Group. Neither the Company nor any of its Subsidiaries has identified any security vulnerabilities affecting Company Information Systems that have been or reasonably would be classified as “moderate”, “medium”, “high”, “critical” or by similar severity designations that have not been remediated.</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5.15(p)</w:t>
      </w:r>
      <w:r>
        <w:rPr>
          <w:rFonts w:ascii="Times New Roman" w:cs="Times New Roman" w:eastAsia="Times New Roman" w:hAnsi="Times New Roman"/>
          <w:sz w:val="18"/>
          <w:szCs w:val="18"/>
          <w:color w:val="auto"/>
        </w:rPr>
        <w:t xml:space="preserve"> of the Company Disclosure Schedules identifies each standards-setting organization (including ETSI, 3GPP, 3GPP2, TIA, IEEE, IETF, and ITU-R), university or industry body, consortium, other multi-party special interest group and any other collaborative or other group in which the Company Group is currently participating, or has participated in the past or applied for future participation in, including any of the foregoing that may be organized, funded, sponsored, formed or operated, in whole or in part, by any Authority, in all cases, to the extent related to any Intellectual Property (each a “</w:t>
      </w:r>
      <w:r>
        <w:rPr>
          <w:rFonts w:ascii="Times New Roman" w:cs="Times New Roman" w:eastAsia="Times New Roman" w:hAnsi="Times New Roman"/>
          <w:sz w:val="18"/>
          <w:szCs w:val="18"/>
          <w:u w:val="single" w:color="auto"/>
          <w:color w:val="auto"/>
        </w:rPr>
        <w:t>Standards Setting Body</w:t>
      </w:r>
      <w:r>
        <w:rPr>
          <w:rFonts w:ascii="Times New Roman" w:cs="Times New Roman" w:eastAsia="Times New Roman" w:hAnsi="Times New Roman"/>
          <w:sz w:val="18"/>
          <w:szCs w:val="18"/>
          <w:color w:val="auto"/>
        </w:rPr>
        <w:t>”). The Company Group has not made any written Patent disclosures to any Standards Setting Body. The Company Group is not engaged in any material dispute with any Standards Setting Body with respect to any Intellectual Property or with any third Persons with respect to Company Group’s conduct with respect to any Standards Setting Body.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5.16</w:t>
      </w:r>
      <w:r>
        <w:rPr>
          <w:sz w:val="20"/>
          <w:szCs w:val="20"/>
          <w:color w:val="auto"/>
        </w:rPr>
        <w:tab/>
      </w:r>
      <w:r>
        <w:rPr>
          <w:rFonts w:ascii="Times New Roman" w:cs="Times New Roman" w:eastAsia="Times New Roman" w:hAnsi="Times New Roman"/>
          <w:sz w:val="17"/>
          <w:szCs w:val="17"/>
          <w:u w:val="single" w:color="auto"/>
          <w:color w:val="auto"/>
        </w:rPr>
        <w:t>Employees; Employment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5.16(a)</w:t>
      </w:r>
      <w:r>
        <w:rPr>
          <w:rFonts w:ascii="Times New Roman" w:cs="Times New Roman" w:eastAsia="Times New Roman" w:hAnsi="Times New Roman"/>
          <w:sz w:val="18"/>
          <w:szCs w:val="18"/>
          <w:color w:val="auto"/>
        </w:rPr>
        <w:t xml:space="preserve"> of the Company Disclosure Schedules sets forth a true, correct and complete list of each of the five highest compensated officers or employees of the Company Group as of the date hereof, setting forth the name, title, current base salary or hourly rate for each such person and total compensation (including bonuses and commissions) paid to each such person for the fiscal years ended December 31, 2021 and 2020.</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previously made available to Parent a complete and accurate list of all employees of the Company Group, including (i) each such employee’s position or title, annualized base salary or hourly wage (as applicable), annual commission opportunity and bonus potential, date of hire, business location, accrued, unused vacation, sick and/or paid time off, and part-time or full-time status, (ii) whether such employee is classified as exempt or non-exempt for wage and hour purposes and (iii) the total amount of bonus, severance, retention, change of control and/or other amounts to be paid to such employee at the Closing.</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previously made available to Parent a complete and accurate list of all independent contractors, consultants, leased employees or temporary employees of the Company Group (“</w:t>
      </w:r>
      <w:r>
        <w:rPr>
          <w:rFonts w:ascii="Times New Roman" w:cs="Times New Roman" w:eastAsia="Times New Roman" w:hAnsi="Times New Roman"/>
          <w:sz w:val="18"/>
          <w:szCs w:val="18"/>
          <w:u w:val="single" w:color="auto"/>
          <w:color w:val="auto"/>
        </w:rPr>
        <w:t>Contingent Workers</w:t>
      </w:r>
      <w:r>
        <w:rPr>
          <w:rFonts w:ascii="Times New Roman" w:cs="Times New Roman" w:eastAsia="Times New Roman" w:hAnsi="Times New Roman"/>
          <w:sz w:val="18"/>
          <w:szCs w:val="18"/>
          <w:color w:val="auto"/>
        </w:rPr>
        <w:t>”), showing for each Contingent Worker the nature of services provided, initial date of engagement, location, fee or compensation arrangements (e.g. amount and schedule), and average hours of services performed per week.</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4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is not a party to any collective bargaining agreement, and, since January 1, 2019, there has been no activity or proceeding by a labor union or representative thereof to organize any employees of the Company Group. There is no labor strike, material slowdown or material work stoppage or lockout pending or, to the Knowledge of the Company, threatened against the Company Group, and, since January 1, 2019, the Company Group has not experienced any strike, material slowdown, material work stoppage or lockout by or with respect to its employees. To the Knowledge of the Company, the Company Group is not subject to any attempt by any union to represent Company Group employees as a collective bargaining agent.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Actions against the Company Group under any worker’s compensation policy or long-term disability policy. There is no unfair labor practice charge or complaint pending or, to the Knowledge of the Company, threatened before any applicable Authority relating to employees of the Company Group. Since January 1, 2019, the Company Group has not engaged in, and is not currently contemplating, any location closing, employee layoff, or relocation activities that would trigger the Worker Adjustment Retraining and Notification Act of 1988, as amended, or any similar state or local statute, rule or regulation (collectively,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is, and since January 1, 2019 has been, in material compliance in all material respects with all applicable Laws relating to employment of labor, including all applicable Laws relating to wages, hours, overtime, collective bargaining, equal employment opportunity, anti-discrimination, anti-harassment (including sexual harassment), anti-retaliation, immigration, employee leave, disability rights or benefits, employment and reemployment rights of members and veterans of the uniformed services, paid time off/vacation, unemployment insurance, safety and health, workers’ compensation, pay equity, restrictive covenants, child labor, whistleblower rights, classification of employees and independent contractors, meal and rest breaks, business expenses, work place safety and health, and the collection and payment of withholding or social security Taxes. Since January 1, 2018, no audits have been conducted, or are currently being conducted, or, to the Knowledge of the Company, are threatened to be conducted by any Authority with respect to applicable Laws regarding employment or labor Laws. No employee of the Company Group has, since January 1, 2018, brought or, to the Knowledge of the Company, threatened to bring a claim for unpaid compensation, including overtime amounts. The Company Group is not delinquent in payments to any of their respective employees or Contingent Workers for any wages, salaries, commissions, bonuses, fees or other direct compensation for any services performed by them or amounts required to be reimbursed to such employees or Contingent Workers.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both"/>
        <w:ind w:firstLine="1304"/>
        <w:spacing w:after="0" w:line="256" w:lineRule="auto"/>
        <w:tabs>
          <w:tab w:leader="none" w:pos="18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Group has complied, in all material respects, with all Laws relating to the verification of identity and employment authorization of individuals employed in the United States, and to the Knowledge of the Company none of the Company Group currently employs, or since January 1, 2018 has employed, any Person who was not permitted to work in the jurisdiction in which such Person was employed. No audit by any Authority is currently being conducted, pending or, to the Knowledge of the Company, threatened to be conducted in respect to any foreign workers employed by the Company Group. </w:t>
      </w:r>
      <w:r>
        <w:rPr>
          <w:rFonts w:ascii="Times New Roman" w:cs="Times New Roman" w:eastAsia="Times New Roman" w:hAnsi="Times New Roman"/>
          <w:sz w:val="18"/>
          <w:szCs w:val="18"/>
          <w:u w:val="single" w:color="auto"/>
          <w:color w:val="auto"/>
        </w:rPr>
        <w:t>Schedule 5.16(g)</w:t>
      </w:r>
      <w:r>
        <w:rPr>
          <w:rFonts w:ascii="Times New Roman" w:cs="Times New Roman" w:eastAsia="Times New Roman" w:hAnsi="Times New Roman"/>
          <w:sz w:val="18"/>
          <w:szCs w:val="18"/>
          <w:color w:val="auto"/>
        </w:rPr>
        <w:t xml:space="preserve"> of the Company Disclosure Schedules discloses in respect to each individual who is employed by the Company Group pursuant to a visa, (i) the expiration date of such visa and (ii) whether the Company Group has made any attempts to renew such visa.</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key employee or officer of the Company Group is a party to or is bound by any confidentiality agreement, non-competition agreement or other contract (with any Person) that would materially interfere with: (A) the performance by such officer or key employee of any of his or her duties or responsibilities as an officer or employee of the Company Group or (B) the Company’s business or operations. To the Knowledge of the Company, there is no officer, employee who is material to the Business, or group of employees or Contingent Workers of the Company Group who has or has indicated, in writing, an intention to terminate his, her or their employment with the Company Group, and in the past six (6) months, the employment of no officer or employee that is material to the business of the Company Group has been terminated for any reason, nor does the Company have any present intention to terminate the employment of any of the foregoing.</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85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5.16(i)</w:t>
      </w:r>
      <w:r>
        <w:rPr>
          <w:rFonts w:ascii="Times New Roman" w:cs="Times New Roman" w:eastAsia="Times New Roman" w:hAnsi="Times New Roman"/>
          <w:sz w:val="18"/>
          <w:szCs w:val="18"/>
          <w:color w:val="auto"/>
        </w:rPr>
        <w:t xml:space="preserve"> of the Company Disclosure Schedules, the employment of each of the key employees is terminable at will without any penalty or severance obligation on the part of the Company Group.</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9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current and former employee and officer, and where appropriate, each independent contractor and consultant, of the Company Group has executed a form of confidentiality and proprietary information and/or inventions agreement or similar agreement and to the Knowledge of the Company, no current or former employees, officers or consultants are or were, as the case may be, in violation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1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any individual who performs or performed services for the Company and who is not treated as an employee for Tax purposes by the Company Group, the Company Group has complied in all material respects with applicable Laws concerning independent contractors, including for Tax withholding purposes or Plan purposes, and the Company Group does not have any liability by reason of any individual who performs or performed services for the Company Group, in any capacity, being improperly excluded from participating in any Plan. Except as would not result in a material liability to the Company Group, each of the employees of the Company Group is, and since January 1, 2018 has been, properly classified by the Company Group as an employee and as “exempt” or “non-exempt” under applicable Law.</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ind w:firstLine="1304"/>
        <w:spacing w:after="0" w:line="255" w:lineRule="auto"/>
        <w:tabs>
          <w:tab w:leader="none" w:pos="180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5.16(l)</w:t>
      </w:r>
      <w:r>
        <w:rPr>
          <w:rFonts w:ascii="Times New Roman" w:cs="Times New Roman" w:eastAsia="Times New Roman" w:hAnsi="Times New Roman"/>
          <w:sz w:val="18"/>
          <w:szCs w:val="18"/>
          <w:color w:val="auto"/>
        </w:rPr>
        <w:t xml:space="preserve"> of the Company Disclosure Schedule, there is no, and since January 1, 2018 there has been no, written notice provided to the Company Group of any audits, actions, suits, claims, investigations, formal or informal grievances, complaints, charges or legal proceeding against the Company Group pending, or to the Knowledge of the Company, threatened to be brought or filed, by or with any judicial, regulatory or administrative forum, under any private dispute resolution procedure or internally in connection with employment or labor matters, including any claim relating to unfair labor practices, employment discrimination, harassment, retaliation, equal pay or any other employment related matter arising under applicable Laws, nor is there any pending obligation for the Company Group under any settlement or out-of-court or pre-litigation arrangement relating to such matters.</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2018, the Company Group has investigated all workplace harassment (including sexual harassment), discrimination, retaliation, and workplace violence written claims relating to current and/or former employees of the Company Group or third parties who interacted with current and/or former employees of the Company Group. With respect to each such written claim with potential merit, the Company Group has taken corrective action. Further, since January 1, 2018 no allegations of sexual harassment have been made to the Company Group against any individual in his or her capacity as director or an employee of the Company Group at a level of Manager or above. No member of the Company Group or any individual in his or her capacity as director or an employee of the Company Group has, since January 1, 2018, entered into any settlement agreement relating to any allegations of workplace harassment, discrimination, retaliation, and workplace violence against any individual in his or her capacity as director or an employee of the Company Group.</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5.16(n)</w:t>
      </w:r>
      <w:r>
        <w:rPr>
          <w:rFonts w:ascii="Times New Roman" w:cs="Times New Roman" w:eastAsia="Times New Roman" w:hAnsi="Times New Roman"/>
          <w:sz w:val="18"/>
          <w:szCs w:val="18"/>
          <w:color w:val="auto"/>
        </w:rPr>
        <w:t xml:space="preserve"> of the Company’s Disclosure Schedule, as of the date hereof and since January 1, 2018, there have been no audits by any Authority, nor have there been any charges, fines, or penalties, including those pending or threatened, under any applicable federal, state or local occupational safety and health Law and Orders (collectively, “</w:t>
      </w:r>
      <w:r>
        <w:rPr>
          <w:rFonts w:ascii="Times New Roman" w:cs="Times New Roman" w:eastAsia="Times New Roman" w:hAnsi="Times New Roman"/>
          <w:sz w:val="18"/>
          <w:szCs w:val="18"/>
          <w:u w:val="single" w:color="auto"/>
          <w:color w:val="auto"/>
        </w:rPr>
        <w:t>OSHA</w:t>
      </w:r>
      <w:r>
        <w:rPr>
          <w:rFonts w:ascii="Times New Roman" w:cs="Times New Roman" w:eastAsia="Times New Roman" w:hAnsi="Times New Roman"/>
          <w:sz w:val="18"/>
          <w:szCs w:val="18"/>
          <w:color w:val="auto"/>
        </w:rPr>
        <w:t>”) against the Company Group. The Company Group is in compliance in all material respects with OSHA and there are no pending appeals of any Authority’s decision or fines issues in relation to OSHA.</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complied in all material respects with all applicable Laws regarding the COVID-19 pandemic, including all applicable federal, state and local Orders issued by any Authority (whether in the United States or any other jurisdiction) regarding shelters-in-place, or similar Orders in effect as of the date hereof, and have taken appropriate precautions regarding its employees. As of the date hereof, all employees of the Company Group who are reasonably able to conduct their duties remotely are working remotely. There have been no, and there are no pending or anticipated layoffs, leaves of absence or terminations of employment in respect to the employees of the Company as a result of the COVID-19 pandemic. The Company Group has promptly and thoroughly investigated all occupational safety and health complaints, issues, or inquiries related to the COVID-19 pandemic. With respect to each occupational safety and health complaint, issue, or inquiry related to the COVID-19 pandemic, the Company Group has taken prompt corrective action that is reasonably calculated to prevent further spread of COVID-19 within the Company Group’s workplace.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of the Company Disclosure Schedules, all obligations of the Company Group applicable to its employees, whether arising by operation of Law, by Contract, or attributable to payments by the Company Group to trusts or other funds or to any Authority, with respect to unemployment compensation benefits or social security benefits for its employees through the date hereof, have been paid or adequate accruals therefor have been made on the Company Financial Statements. Except as disclosed on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of the Company Disclosure Schedules, all reasonably anticipated obligations of the Company Group with respect to such employees (except for those related to wages during the pay period immediately prior to the Closing Date and arising in the ordinary course of business consistent with past practices),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Group prior to the Closing Date.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5.18</w:t>
      </w:r>
      <w:r>
        <w:rPr>
          <w:sz w:val="20"/>
          <w:szCs w:val="20"/>
          <w:color w:val="auto"/>
        </w:rPr>
        <w:tab/>
      </w:r>
      <w:r>
        <w:rPr>
          <w:rFonts w:ascii="Times New Roman" w:cs="Times New Roman" w:eastAsia="Times New Roman" w:hAnsi="Times New Roman"/>
          <w:sz w:val="17"/>
          <w:szCs w:val="17"/>
          <w:u w:val="single" w:color="auto"/>
          <w:color w:val="auto"/>
        </w:rPr>
        <w:t>Employee Benefits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8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of the Company Disclosure Schedules sets forth a correct and complete list of all material Plans. With respect to each Plan, the Company has made available to Parent or its counsel a true and complete copy, to the extent applicable, of: (i) each writing constituting a part of such Plan and all amendments thereto, including all plan documents, material employee communications, benefit schedules, trust agreements, and insurance contracts and other funding vehicles; (ii) the most recent annual reports on Form 5500 and accompanying schedules; (iii) the current summary plan description and any material modifications thereto; (iv) the most recent annual financial and actuarial reports; (v) the most recent determination or advisory letter received by the Company Group from the Internal Revenue Service regarding the tax-qualified status of such Plan and (vi) the three (3) most recent written results of all required compliance testing.</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6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Plan is (i) subject to Title IV or Section 302 of ERISA or Section 412 or 4971 of the Code or (ii) a “multiemployer plan” (as defined in Section 3(37) of ERISA). None of the Company Group, or any ERISA Affiliate, has withdrawn at any time since January 1, 2018 from any multiemployer plan or incurred any withdrawal liability which remains unsatisfied, and no events have occurred and, to the Knowledge of the Company, no circumstances exist that could reasonably be expected to result in any such liability to the Company Group.</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7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Plan that is intended to qualify under Section 401(a) of the Code, such Plan, including its related trust, has received a determination letter (or may rely upon opinion letters in the case of any prototype plans) from the Internal Revenue Service that it is so qualified and that its trust is exempt from Tax under Section 501(a) of the Code, and, to the Knowledge of the Company, nothing has occurred with respect to the operation of any such Plan that could cause the loss of such qualification or exemption or the imposition of any material liability, penalty or tax under ERISA or the Code.</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Actions against or relating to the Plans, the assets of any of the trusts under such Plans or the Plan sponsor or the Plan administrator, or against any fiduciary of any Plan with respect to the operation of such Plan (other than routine benefits claims). No Plan is presently under audit or examination (nor has written notice been received of a potential audit or examination) by any Authority.</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has been established, administered and funded in accordance with its terms and in compliance in all material respects with the applicable provisions of ERISA, the Code and other applicable Laws. There is not now, nor do any circumstances exist that could give rise to, any requirement for the posting of security with respect to a Plan or the imposition of any Lien on the assets of the Company or any of its Subsidiaries under ERISA or the Code. All premiums due or payable with respect to insurance policies funding any Plan have been made or paid in full or, to the extent not required to be made or paid on or before the date hereof, have been fully reflected on the Company Financial Statements.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ind w:firstLine="1304"/>
        <w:spacing w:after="0" w:line="261" w:lineRule="auto"/>
        <w:tabs>
          <w:tab w:leader="none" w:pos="19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Plans provide retiree health or life insurance benefits, except as may be required by Section 4980B of the Code, Section 601 of ERISA or any other applicable Law. There has been no violation of the “continuation coverage requirement” of “group health plans” as set forth in Section 4980B of the Code and Part 6 of Subtitle B of Title I of ERISA with respect to any Plan to which such continuation coverage requirements apply.</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7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current or former employee of the Company Group with respect to any Plan; (ii) increase any benefits otherwise payable under any Plan; or (iii) result in the acceleration of the time of payment or vesting of any such compensation or benefits. No Person is entitled to receive any additional payment (including any tax gross-up or other payment) from the Company Group as a result of the imposition of the excise taxes required by Section 4999 of the Code or any taxes required by Section 409A of the Code.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result in the payment of any amount that would, individually or in combination with any other such payment, be an “excess parachute payment” within the meaning of Section 280G of the Code.</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89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that is a “nonqualified deferred compensation plan” (as defined in Section 409A(d)(1) of the Code), in all material respects, is in documentary compliance with, and has in all material respects been administered in compliance with Section 409A of the Code.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Plans subject to the laws of any jurisdiction outside of the United States (i) if they are intended to qualify for special tax treatment, meet all requirements for such treatment, and (ii) if they are intended to be funded and/or book-reserved, are fully funded and/or book reserved, as appropriate, based upon reasonable actuarial assumptions.</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5.19</w:t>
      </w:r>
      <w:r>
        <w:rPr>
          <w:sz w:val="20"/>
          <w:szCs w:val="20"/>
          <w:color w:val="auto"/>
        </w:rPr>
        <w:tab/>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8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does not own any Real Property. The Leases are the only Contracts pursuant to which the Company Group leases any real property. The Company Group has provided to Parent and Merger Sub accurate and complete copies of all Leases. The Company Group has not materially breached or violated any local zoning ordinance, and no written notice from any Person has been received by the Company Group or served upon the Company Group claiming any violation of any local zoning ordinance.</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3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Lease: (i) it is valid, binding and enforceable in accordance with its terms (subject to the Enforceability Exceptions) and in full force and effect; (ii) all rents and additional rents and other sums, expenses and charges due thereunder have been paid; (iii) the Company Group has performed all material obligations imposed on it under such Lease and there exists no material default or event of default thereunder by the Company Group or, to the Company’s Knowledge, by any other party thereto; (iv) as of the date hereof, there are no outstanding claims of breach or indemnification or notice of default or termination thereunder, (iv) no waiver, indulgence or postponement of the Company Group’s obligations thereunder has been granted by the lessor, and (v) as of the date hereof, the Company Group has not exercised early termination options, if any, under such Lease. The Company Group holds the leasehold estate established under the Leases free and clear of all Liens, except for Permitted Liens and Liens of mortgagees of the Real Property on which such leasehold estate is located. The Company Group is in physical possession and actual and exclusive occupation of the whole of the leased premises, none of which is subleased or assigned to another Person. With respect to alterations or improvements made by the Company Group that require restoration by the Company Group upon the expiration or the earlier termination of the applicable Leases in accordance with the terms of such Leases, the cost of the Company Group’s restoration obligations are not material to the Company Group taken as a whole.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5.20</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 Except as set forth on</w:t>
      </w:r>
      <w:r>
        <w:rPr>
          <w:rFonts w:ascii="Times New Roman" w:cs="Times New Roman" w:eastAsia="Times New Roman" w:hAnsi="Times New Roman"/>
          <w:sz w:val="17"/>
          <w:szCs w:val="17"/>
          <w:u w:val="single" w:color="auto"/>
          <w:color w:val="auto"/>
        </w:rPr>
        <w:t xml:space="preserve"> Schedule 5.20 </w:t>
      </w:r>
      <w:r>
        <w:rPr>
          <w:rFonts w:ascii="Times New Roman" w:cs="Times New Roman" w:eastAsia="Times New Roman" w:hAnsi="Times New Roman"/>
          <w:sz w:val="17"/>
          <w:szCs w:val="17"/>
          <w:color w:val="auto"/>
        </w:rPr>
        <w:t>of the Company Disclosure Schedules:</w:t>
      </w:r>
    </w:p>
    <w:p>
      <w:pPr>
        <w:spacing w:after="0" w:line="225" w:lineRule="exact"/>
        <w:rPr>
          <w:sz w:val="20"/>
          <w:szCs w:val="20"/>
          <w:color w:val="auto"/>
        </w:rPr>
      </w:pPr>
    </w:p>
    <w:p>
      <w:pPr>
        <w:jc w:val="both"/>
        <w:ind w:firstLine="1304"/>
        <w:spacing w:after="0" w:line="267" w:lineRule="auto"/>
        <w:tabs>
          <w:tab w:leader="none" w:pos="1935"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each case as to matters that would not reasonably be expected to have, individually or in the aggregate, a Material Adverse Effect, (i) the Company Group has duly and timely filed all United States federal income and other material Tax Returns which are required to be filed by or with respect to it, and has paid all income and other material Taxes (whether or not shown on such Tax Returns) which have become due and payable by it; (ii) all such Tax Returns are true, correct and complete and accurate in all material respects; (iii) there is no Action, pending or proposed in writing, with respect to Taxes of the Company Group; (iv) no statute of limitations in respect of the assessment or collection of any Taxes of the Company Group for which a Lien may be imposed on any of the Company Group’s assets has been waived or extended, which waiver or extension is in effect (except to the extent resulting from automatic extensions of time to file Tax Returns obtained in the ordinary course of business); (v) to the Knowledge of the Company, the Company Group has complied in all material respects with all applicable Laws relating to the reporting, payment, collection and withholding of Taxes and has duly and timely withheld or collected, paid over to the applicable Taxing Authority and reported all material Taxes (including income, social, security and other payroll Taxes) required to be withheld or collected by the Company Group; (vi) the Company has properly collected all material sales Taxes required to be collected in the time and manner required by applicable Law and remitted all such sales Taxes to the applicable Taxing authority in the time and in the manner required by applicable Law (vii) there is no outstanding request for a ruling from any Taxing Authority, request for consent by a Taxing Authority for a change in a method of accounting, subpoena or request for information by any Taxing Authority or agreement with any Taxing Authority with respect to the Company Group; (viii) there is no Lien (other than Permitted Liens) for material Taxes upon any of the assets of the Company Group; (ix) within the last 3 years, no claim has been made by a Taxing Authority in a jurisdiction where the Company Group has not paid any Tax or filed Tax Returns, asserting that the Company Group is or may be subject to Tax in such jurisdiction (xi) no member of the Company Group is a party to any Tax sharing, Tax indemnity or Tax allocation Contract (other than any such Contract the principal subject matter of which is unrelated to Taxes); (xii) the Company has not been a member of an “affiliated group” within the meaning of Section 1504(a) of the Code filing a consolidated federal income Tax Return (other than a group the common parent of which was the Company); (xiii) other than with respect to the consolidated tax group the common parent of which is the Company, the Company has no liability for the Taxes of any other Person: (A) under Treasury Regulation Section 1.1502-6 (or any similar provision of applicable Law), (B) as a transferee or successor or by contract (other than any contract the principal subject matter of which is unrelated to Taxes) or (C) otherwise by operation of applicable Law; (xiv) the Company Group has not requested any extension of time within which to file any Tax Return (other than automatic extensions or extensions requested in the ordinary course of business), which Tax Return has since not been filed; and</w:t>
      </w:r>
    </w:p>
    <w:p>
      <w:pPr>
        <w:spacing w:after="0" w:line="201" w:lineRule="exact"/>
        <w:rPr>
          <w:rFonts w:ascii="Times New Roman" w:cs="Times New Roman" w:eastAsia="Times New Roman" w:hAnsi="Times New Roman"/>
          <w:sz w:val="17"/>
          <w:szCs w:val="17"/>
          <w:color w:val="auto"/>
        </w:rPr>
      </w:pPr>
    </w:p>
    <w:p>
      <w:pPr>
        <w:jc w:val="both"/>
        <w:ind w:firstLine="8"/>
        <w:spacing w:after="0" w:line="255" w:lineRule="auto"/>
        <w:tabs>
          <w:tab w:leader="none" w:pos="3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disclosed on its Tax Returns any Tax reporting position taken in any Tax Return which could result in the imposition of penalties under Section 6662 of the Code (or any comparable provisions of state, local or foreign Law) and the Company has not been a party to any “reportable transaction” or “listed transaction” as defined in Section 6707A(c) of the Code and Treasury Regulation Section 1.6011-4(b).</w:t>
      </w:r>
    </w:p>
    <w:p>
      <w:pPr>
        <w:spacing w:after="0" w:line="18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5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Group will be required to include any material item of income or exclude any material item of deduction for any taxable period beginning after the Closing Date as a result of: (i) Code Section 481 resulting from a change in method of accounting made by a member of the Company Group before the Closing Date; (ii) any closing agreement described in Section 7121 of the Code (or similar provision of state, local or foreign Law) entered into by a member of the Company Group before the Closing; (iii) any installment sale or open sale transaction disposition made by a Member of the Company Group before the Closing; (iv) any prepaid amount received outside of the ordinary course of business by a Member of the Company Group before the Closing; or (v) any intercompany transaction or excess loss account described in Treasury Regulations under Section 1502 of the Code (or any corresponding or similar provision of state, local or non-U.S. income Tax law) existing before the Closing.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both"/>
        <w:ind w:firstLine="1304"/>
        <w:spacing w:after="0" w:line="261" w:lineRule="auto"/>
        <w:tabs>
          <w:tab w:leader="none" w:pos="182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Group (i) did not, as of the most recent fiscal month end, materially exceed the reserve for Tax liability (rather than any reserve for deferred Taxes established to reflect timing differences between book and Tax income) set forth on the Unaudited Financial Statements and (ii) will not materially exceed that reserve as adjusted for the passage of time through the Closing Date in accordance with the past custom and practice of the Company in filing its Tax Return.</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aware of any fact or circumstance that would reasonably be expected to prevent either of the Domestication or the Merger from qualifying as a “reorganization” within the meaning of Section 368(a) of the Code. The Company has not taken or agreed to take any action not contemplated by this Agreement or any related ancillary documents that could reasonably be expected to prevent either the Domestication or the Merger from qualifying as a “reorganization” within the meaning of Section 368(a) of the Code.</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not deferred the withholding or remittance of any Applicable Taxes related or attributable to any Applicable Wages for any employees of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2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Agreement to the contrary, (i) the representations and warranties set forth in this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xml:space="preserve"> shall constitute the sole and exclusive representations and warranties made in this Agreement with respect to Tax matters of the Company Group, and (ii) no representation or warranty is made in this Agreement with respect to Taxes for any taxable period (or portion thereof) beginning after the Closing Date or the existence, availability, amount, usability or limitation of any net operating loss, Tax basis, or other Tax attribute of the Company Group after the Closing Date.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Group has complied and is in compliance with all Environmental Laws, and there are no Actions pending or, to the Knowledge of the Company Group, threatened against the Company Group alleging any failure to so comply. The Company Group has not (a) received any notice of any alleged claim, violation of or liability under any Environmental Law nor any claim of potential liability with regard to any Hazardous Material, which has not heretofore been cured or for which there is any remaining liability; (b) disposed of, emitted, discharged, handled, stored, transported, used or released any Hazardous Material; arranged for the disposal, discharge, storage or release of any Hazardous Material; or exposed any employee or other individual or property to any Hazardous Material that would reasonably be expected to give rise to any liability or corrective or remedial obligation under any Environmental Laws; or (c) entered into any agreement that may require it to guarantee, reimburse, pledge, defend, hold harmless or indemnify any other Person with respect to liabilities arising out of Environmental Laws or the Hazardous Material Activity. There are no Hazardous Materials in, on or under any properties owned, leased or used at any time by the Company Group that would reasonably be expected give rise to any liability or corrective or remedial obligation of the Company Group under any Environmental Laws.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of the Company Disclosure Schedules, there is no investment banker, broker, finder or other intermediary which has been retained by or is authorized to act on behalf of the Company or any other member the Company Group or any of its respective Affiliates who might be entitled to any fee or commission from the Company, any other member of the Company Group, Merger Sub, Parent or any of its respective Affiliates upon consummation of the transactions contemplated by this Agreement or any of the Additional Agreements.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Powers of Attorney, Suretyships and Bank Accounts</w:t>
      </w:r>
      <w:r>
        <w:rPr>
          <w:rFonts w:ascii="Times New Roman" w:cs="Times New Roman" w:eastAsia="Times New Roman" w:hAnsi="Times New Roman"/>
          <w:sz w:val="18"/>
          <w:szCs w:val="18"/>
          <w:color w:val="auto"/>
        </w:rPr>
        <w:t>. The Company Group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xml:space="preserve"> of the Company Disclosure Schedules sets forth a true, correct and complete list of all directors and officers of each member of the Company Group.</w:t>
      </w:r>
    </w:p>
    <w:p>
      <w:pPr>
        <w:spacing w:after="0" w:line="16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5.25</w:t>
      </w:r>
      <w:r>
        <w:rPr>
          <w:sz w:val="20"/>
          <w:szCs w:val="20"/>
          <w:color w:val="auto"/>
        </w:rPr>
        <w:tab/>
      </w:r>
      <w:r>
        <w:rPr>
          <w:rFonts w:ascii="Times New Roman" w:cs="Times New Roman" w:eastAsia="Times New Roman" w:hAnsi="Times New Roman"/>
          <w:sz w:val="17"/>
          <w:szCs w:val="17"/>
          <w:u w:val="single" w:color="auto"/>
          <w:color w:val="auto"/>
        </w:rPr>
        <w:t>International Trade Control 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0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currently is and, since January 1, 2018, has been, in compliance with applicable Laws related to (i) anti-corruption or anti-bribery, including the U.S. Foreign Corrupt Practices Act of 1977, 15 U.S.C. §§ 78dd-1, et seq., as amended (the “</w:t>
      </w:r>
      <w:r>
        <w:rPr>
          <w:rFonts w:ascii="Times New Roman" w:cs="Times New Roman" w:eastAsia="Times New Roman" w:hAnsi="Times New Roman"/>
          <w:sz w:val="18"/>
          <w:szCs w:val="18"/>
          <w:u w:val="single" w:color="auto"/>
          <w:color w:val="auto"/>
        </w:rPr>
        <w:t>Foreign Corrupt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Practices Act</w:t>
      </w:r>
      <w:r>
        <w:rPr>
          <w:rFonts w:ascii="Times New Roman" w:cs="Times New Roman" w:eastAsia="Times New Roman" w:hAnsi="Times New Roman"/>
          <w:sz w:val="18"/>
          <w:szCs w:val="18"/>
          <w:color w:val="auto"/>
        </w:rPr>
        <w:t>”) and any other equivalent or comparable Laws of other countries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(ii) economic sanctions administered, enacted or enforced by any Authority (collectively, “</w:t>
      </w: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(iii) export controls, including the U.S. Export Administration Regulations, 15 C.F.R. §§ 730 et seq., and any other equivalent or comparable Laws of other countries (collectively, “</w:t>
      </w:r>
      <w:r>
        <w:rPr>
          <w:rFonts w:ascii="Times New Roman" w:cs="Times New Roman" w:eastAsia="Times New Roman" w:hAnsi="Times New Roman"/>
          <w:sz w:val="18"/>
          <w:szCs w:val="18"/>
          <w:u w:val="single" w:color="auto"/>
          <w:color w:val="auto"/>
        </w:rPr>
        <w:t>Export Control Laws</w:t>
      </w:r>
      <w:r>
        <w:rPr>
          <w:rFonts w:ascii="Times New Roman" w:cs="Times New Roman" w:eastAsia="Times New Roman" w:hAnsi="Times New Roman"/>
          <w:sz w:val="18"/>
          <w:szCs w:val="18"/>
          <w:color w:val="auto"/>
        </w:rPr>
        <w:t>”); (iv) anti-money laundering, including the Money Laundering Control Act of 1986, 18 U.S.C. §§ 1956, 1957, and any other equivalent or comparable Laws of other countries (collectively,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in all material respects; (v) anti-boycott regulations, as administered by the U.S. Department of Commerce; and (vi) importation of goods, including Laws administered by the U.S. Customs and Border Protection, Title 19 of the U.S.C. and C.F.R., and any other equivalent or comparable Laws of other countries (collectively, “</w:t>
      </w:r>
      <w:r>
        <w:rPr>
          <w:rFonts w:ascii="Times New Roman" w:cs="Times New Roman" w:eastAsia="Times New Roman" w:hAnsi="Times New Roman"/>
          <w:sz w:val="18"/>
          <w:szCs w:val="18"/>
          <w:u w:val="single" w:color="auto"/>
          <w:color w:val="auto"/>
        </w:rPr>
        <w:t>International Trade Control Laws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4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Group nor, to the Knowledge of the Company, any Representative of the Company Group (acting on behalf of the Company Group) is or is acting under the direction of, on behalf of or for the benefit of a Person that is (i) the target of Sanctions Laws or identified on any sanctions or similar lists administered by an Authority, including the U.S. Department of the Treasury’s Specially Designated Nationals List, the U.S. Department of Commerce’s Denied Persons List and Entity List, the U.S. Department of State’s Debarred List, HM Treasury’s Consolidated List of Financial Sanctions Targets and the Investment Bank List, or any similar list enforced by any other relevant Authority, as amended from time to time, or any Person owned or controlled by any of the foregoing; (ii) located, organized or resident in a country or territory that is, or whose government is, the target of comprehensive trade sanctions under Sanctions Laws, including, as of the date of this Agreement, Cuba, Iran, North Korea, Syria, and the Crimea and so-called Donetsk People’s Republic and Luhansk People’s Republic regions of Ukraine (collectively with the foregoing clause (i), a “</w:t>
      </w:r>
      <w:r>
        <w:rPr>
          <w:rFonts w:ascii="Times New Roman" w:cs="Times New Roman" w:eastAsia="Times New Roman" w:hAnsi="Times New Roman"/>
          <w:sz w:val="18"/>
          <w:szCs w:val="18"/>
          <w:u w:val="single" w:color="auto"/>
          <w:color w:val="auto"/>
        </w:rPr>
        <w:t>Prohibited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(iii) an officer or employee of any Authority or public international organization, or officer of a political party or candidate for political office.</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3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Group nor, to the Knowledge of the Company, any Representative of the Company Group (acting on behalf of the Company Group) (i) has participated in any transaction involving a Prohibited Party (ii) to the Knowledge of the Company, has exported (including deemed exportation) or re-exported, directly or indirectly, any commodity, software, technology, or services in material violation of any applicable Export Control Laws or (iii) has participated in any transaction in violation of or connected with any purpose prohibited by Anti-Corruption Laws or any applicable International Trade Control Laws, including support for international terrorism and nuclear, chemical, or biological weapons proliferation.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not received written notice of nor, to the Knowledge of the Company, is or has any of its Representatives been the subject of any investigation, inquiry or enforcement proceedings by any Authority regarding any offense or alleged offense under Anti-Corruption Laws, Sanctions Laws, Export Control Laws or International Trade Control Laws (including by virtue of having made any disclosure relating to any offense or alleged offense) and, to the Knowledge of the Company, no such investigation, inquiry or proceeding is pending.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All forms of material insurance owned or held by and insuring any member of the Company Group are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5.26</w:t>
      </w:r>
      <w:r>
        <w:rPr>
          <w:rFonts w:ascii="Times New Roman" w:cs="Times New Roman" w:eastAsia="Times New Roman" w:hAnsi="Times New Roman"/>
          <w:sz w:val="18"/>
          <w:szCs w:val="18"/>
          <w:color w:val="auto"/>
        </w:rPr>
        <w:t xml:space="preserve"> of the Company Disclosure Schedules, and such policies are in full force and effect. As of the date hereof, (i) all premiums with respect to such policies have been paid, (ii) no written notice of cancellation or termination has been received with respect to any such policy which was not replaced on substantially similar terms prior to the date of such cancellation or termination, (iii) there is no claim by the Company Group or, to the Company’s Knowledge, any other Person pending under any of such insurance policies as to which coverage has been questioned, denied or disputed by the underwriters or issuers of such policies except as would not be reasonably expected to, individually or in the aggregate, have a Material Adverse Effect on the Company Group. The Company Group does not have any self-insurance arrangements. No fidelity bonds, letters of credit, performance bonds or bid bonds have been issued to or in respect of the Company Group.</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5.27</w:t>
      </w:r>
      <w:r>
        <w:rPr>
          <w:rFonts w:ascii="Times New Roman" w:cs="Times New Roman" w:eastAsia="Times New Roman" w:hAnsi="Times New Roman"/>
          <w:sz w:val="18"/>
          <w:szCs w:val="18"/>
          <w:color w:val="auto"/>
        </w:rPr>
        <w:t xml:space="preserve"> of the Company Disclosure Schedules, as contemplated by this Agreement or as provided in the Company Financial Statements, no Affiliate of the Company Group, current or former director, manager, officer or employee of any Person in the Company Group or any immediate family member or Affiliate of any of the foregoing (collectively, the “</w:t>
      </w:r>
      <w:r>
        <w:rPr>
          <w:rFonts w:ascii="Times New Roman" w:cs="Times New Roman" w:eastAsia="Times New Roman" w:hAnsi="Times New Roman"/>
          <w:sz w:val="18"/>
          <w:szCs w:val="18"/>
          <w:u w:val="single" w:color="auto"/>
          <w:color w:val="auto"/>
        </w:rPr>
        <w:t>Company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 is a party to any Contract, or has otherwise entered into any transaction or arrangement, with any member of the Company Group, other than</w:t>
      </w:r>
    </w:p>
    <w:p>
      <w:pPr>
        <w:spacing w:after="0" w:line="3" w:lineRule="exact"/>
        <w:rPr>
          <w:sz w:val="20"/>
          <w:szCs w:val="20"/>
          <w:color w:val="auto"/>
        </w:rPr>
      </w:pPr>
    </w:p>
    <w:p>
      <w:pPr>
        <w:jc w:val="both"/>
        <w:ind w:firstLine="8"/>
        <w:spacing w:after="0" w:line="252" w:lineRule="auto"/>
        <w:tabs>
          <w:tab w:leader="none" w:pos="23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 respect to a Company Related Party’s employment with (including benefit plans and other ordinary course compensation from) any member of the Company Group, (ii) Contracts with respect to a holder of Company Capital Stock, Company Warrants or Company Options status as a holder of such securities of the Company and (iii) Contracts entered into after the date of this Agreement that are either permitted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entered into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(b) owns any material asset, property or right, tangible or intangible, which is used by any member of the Company Group in the Business, or (c) is a borrower or lender, as applicable, under any Indebtedness owed by or to any member of the Company Group since January 1, 2019.</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5.28 </w:t>
      </w:r>
      <w:r>
        <w:rPr>
          <w:rFonts w:ascii="Times New Roman" w:cs="Times New Roman" w:eastAsia="Times New Roman" w:hAnsi="Times New Roman"/>
          <w:sz w:val="18"/>
          <w:szCs w:val="18"/>
          <w:u w:val="single" w:color="auto"/>
          <w:color w:val="auto"/>
        </w:rPr>
        <w:t>No Trading or Short Position</w:t>
      </w:r>
      <w:r>
        <w:rPr>
          <w:rFonts w:ascii="Times New Roman" w:cs="Times New Roman" w:eastAsia="Times New Roman" w:hAnsi="Times New Roman"/>
          <w:sz w:val="18"/>
          <w:szCs w:val="18"/>
          <w:color w:val="auto"/>
        </w:rPr>
        <w:t>. None of the Company, any other member of the Company Group has engaged in any short sale of Parent’s voting shares or any other type of hedging transaction involving Parent’s securities (including depositing shares of Parent with a brokerage firm where such securities are made available by the broker to other customers of the firm for purposes of hedging or short selling Parent’s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5.29 </w:t>
      </w:r>
      <w:r>
        <w:rPr>
          <w:rFonts w:ascii="Times New Roman" w:cs="Times New Roman" w:eastAsia="Times New Roman" w:hAnsi="Times New Roman"/>
          <w:sz w:val="18"/>
          <w:szCs w:val="18"/>
          <w:u w:val="single" w:color="auto"/>
          <w:color w:val="auto"/>
        </w:rPr>
        <w:t>Not an Investment Company</w:t>
      </w:r>
      <w:r>
        <w:rPr>
          <w:rFonts w:ascii="Times New Roman" w:cs="Times New Roman" w:eastAsia="Times New Roman" w:hAnsi="Times New Roman"/>
          <w:sz w:val="18"/>
          <w:szCs w:val="18"/>
          <w:color w:val="auto"/>
        </w:rPr>
        <w:t>. Neither the Company nor any other member of the Company Group is an “investment company” within the meaning of the Investment Company Act of 1940, as amended, and the rules and regulations promulgated thereunder.</w:t>
      </w:r>
    </w:p>
    <w:p>
      <w:pPr>
        <w:spacing w:after="0" w:line="16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5.30</w:t>
      </w:r>
      <w:r>
        <w:rPr>
          <w:sz w:val="20"/>
          <w:szCs w:val="20"/>
          <w:color w:val="auto"/>
        </w:rPr>
        <w:tab/>
      </w:r>
      <w:r>
        <w:rPr>
          <w:rFonts w:ascii="Times New Roman" w:cs="Times New Roman" w:eastAsia="Times New Roman" w:hAnsi="Times New Roman"/>
          <w:sz w:val="17"/>
          <w:szCs w:val="17"/>
          <w:u w:val="single" w:color="auto"/>
          <w:color w:val="auto"/>
        </w:rPr>
        <w:t>Healthcare Compliance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60" w:hanging="556"/>
        <w:spacing w:after="0"/>
        <w:tabs>
          <w:tab w:leader="none" w:pos="18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is, and has been since January 1, 2018, in compliance in all material respects with all applicable Healthcare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w:t>
      </w:r>
    </w:p>
    <w:p>
      <w:pPr>
        <w:spacing w:after="0" w:line="207" w:lineRule="exact"/>
        <w:rPr>
          <w:sz w:val="20"/>
          <w:szCs w:val="20"/>
          <w:color w:val="auto"/>
        </w:rPr>
      </w:pPr>
    </w:p>
    <w:p>
      <w:pPr>
        <w:jc w:val="both"/>
        <w:ind w:firstLine="1304"/>
        <w:spacing w:after="0" w:line="253" w:lineRule="auto"/>
        <w:tabs>
          <w:tab w:leader="none" w:pos="184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the Company Group has not received written or, to the Knowledge of the Company, oral notice of: (i) any pending or threatened Action by the FDA or any other Authority alleging that any operation or activity of the Company Group is in violation of any applicable Healthcare Law, (ii) any investigation by an Authority related to any potential or alleged violation by the Company Group of any applicable Healthcare Laws, or (iii) being charged with any act that would subject the Company Group to liability for criminal or civil money penalties, product seizure, injunction, mandatory exclusion, permissive exclusion, or other administrative sanctions under any Healthcare Laws. The Company Group is not and since January 1, 2019 has not been a party or subject to a corporate integrity agreement or any administrative or judicial consent order imposed pursuant to action by the Office of Inspector General of the United States Department of Health and Human Services or any similar monitoring agreement or consent order pursuant to action by any other Authority. The Company Group has no reporting obligations pursuant to any settlement agreement entered into with any Authority for an alleged violation of any Healthcare Laws. As of the date hereof, there are no restrictions imposed by any Authority upon the Business, activities, or services of the Company Group that would prevent it from operating as it currently operates or intends to operate.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both"/>
        <w:ind w:firstLine="1304"/>
        <w:spacing w:after="0" w:line="253" w:lineRule="auto"/>
        <w:tabs>
          <w:tab w:leader="none" w:pos="19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pre-clinical and clinical investigations conducted or sponsored by the Company Group and submitted or intended to be submitted to an Authority to support a regulatory approval, clearance, or other form of marketing authorization in any country, were and are being conducted in compliance in all material respects with all applicable Healthcare Laws administered or issued by the applicable Authority, including: (i) FDA regulations for conducting non-clinical laboratory studies contained in Title 21 part 58 of the Code of Federal Regulations, (ii) applicable FDA standards for the design, conduct, monitoring, auditing, recording, analysis and reporting of clinical trials contained in Title 21 parts 50, 54, 56 and 812 of the Code of Federal Regulations and (iii) applicable Healthcare Laws restricting the use and disclosure of individually identifiable health information, including</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w:t>
      </w:r>
    </w:p>
    <w:p>
      <w:pPr>
        <w:spacing w:after="0" w:line="206"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commercialized Company Products have all required regulatory approvals, clearances, or other form of marketing authorization and are in material compliance with FDA regulations for medical devices contained in Title 21 parts 801, 803, 807, 812, 814 and 820, as applicable, of the Code of Federal Regulations as well as applicable Healthcare Laws in each country in which such Company Product(s) are marketed or commercialized, and the Company Group is the sole holder of all such approvals, clearances or marketing authorizations. To the Knowledge of the Company, all reports, documents, claims, permits, adverse event reports and notices on commercialized Company Products required to be filed, maintained or furnished to the FDA or any other Authority by the Company Group have been so filed, maintained or furnished in a timely manner. To the Knowledge of Company, all such reports, documents, claims, permits, adverse event reports and notices were complete and accurate on the date filed (or were corrected in or supplemented by a subsequent filing) and were in compliance in all material respects with applicable Laws. To the Knowledge of the Company, no deficiencies, liabilities, restrictions or limitations on the use of the commercialized Company Products have been asserted by any Authority with respect thereto, and no restrictions or limitation on the use of any commercialized Company Product have been ordered by any Authority, except those restrictions or limitations that are generally applicable to regulated medical products.</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Group nor, to the Knowledge of the Company, any officer, employee or agent of the Company Group has (i) made an untrue statement of a material fact or any fraudulent statement to the FDA or any other Authority, (ii) failed to disclose a material fact required to be disclosed to the FDA or any other Authority or (iii) committed an act, made a statement, or failed to make a statement that, at the time such disclosure was made, would reasonably be expected to provide a reasonable basis for the FDA or any other regulatory authority to invoke its policy respecting “Fraud, Untrue Statements of Material Facts, Bribery, and Illegal Gratuities”, set forth in 56 Fed. Reg. 46191 (September 10, 1991) or any similar policy.</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Company, no officer, employee or agent of the Company Group has been convicted of any crime or engaged in any conduct for which exclusion, debarment, or suspension is mandated by 21 U.S.C. §335a(a), 42 U.S.C. §1320a-7 or any similar Healthcare Laws or authorized by 21 U.S.C. §335a(b), 42 U.S.C. §1320a-7 or any similar Healthcare Laws. Neither the Company Group nor, to the Knowledge of Company, any officer, employee or agent of the Company Group has been charged with or convicted of any crime or engaged in any conduct for which such person could be excluded, debarred, suspended or otherwise deemed ineligible from participating in the federal health care programs under Section 1128 of the Social Security Act of 1935 or any Healthcare Laws. No Actions that would reasonably be expected to result in debarment, suspension or exclusion are pending or, to Company’s Knowledge, threatened against the Company Group or, to the Company’s Knowledge, any of its Representatives performing research or work on behalf of the Company Group.</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both"/>
        <w:ind w:firstLine="1304"/>
        <w:spacing w:after="0" w:line="266" w:lineRule="auto"/>
        <w:tabs>
          <w:tab w:leader="none" w:pos="182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not received any written (or, to the Knowledge of the Company, oral) notice or correspondence from the FDA or any other Authority or from any institutional review board requiring the termination, suspension or material modification of any ongoing or planned clinical trials conducted by, or on behalf of, the Company Group.</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2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data generated by the Company Group with respect to the Company Products is the subject of any Action, either pending or, to Company’s Knowledge, threatened, by any Authority relating to the truthfulness or scientific integrity of such data.</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8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Company Product is (A) adulterated within the meaning of 21 U.S.C. §351 (or any similar Healthcare Law), (B) misbranded within the meaning of 21 U.S.C. § 352 (or any similar Healthcare Law) or (C) in violation of the FDCA (or any similar Healthcare Law). Since January 1, 2019, neither the Company Group nor, to Company’s Knowledge, any of its respective contract manufacturers of finished Company Products, has received any Form FDA 483, warning letter, untitled letter, or other similar correspondence or written notice from the FDA or any other Authority alleging or asserting material noncompliance with any applicable Healthcare Laws or Permits issued to the Company Group by the FDA or any other Authority. Each Company Product is being or has been developed, manufactured, stored, distributed and marketed in compliance in all material respects with all Healthcare Laws and all Applicable Laws, including those related to investigational use, marketing approval, quality systems regulations (QSR), current good manufacturing practices, packaging, labelling, advertising, storing, promotion, import/export, distribution, provision of samples, record keeping, and reporting. There is no investigation, action or proceeding pending or, to the Knowledge of the Company, threatened, including any prosecution, injunction, seizure, civil fine, debarment, suspension or recall, in each case alleging any violation applicable to any Company Product. No manufacturing site owned, leased or operated by the Company Group or, to Company’s Knowledge, any of their respective contract manufacturers of finished Company Products, is or has since January 1, 2019 been subject to a shutdown or import or export prohibition imposed or requested by FDA or another Authority. To the Company’s Knowledge, no event has occurred which would reasonably be expected to lead to any claim, suit, proceeding, investigation, enforcement, inspection or other action by any Authority or any FDA warning letter, untitled letter, or request or requirement to make material changes to the Company Products or the manner in which such Company Products are manufactured or distributed.</w:t>
      </w:r>
    </w:p>
    <w:p>
      <w:pPr>
        <w:spacing w:after="0" w:line="19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1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advertising material used by or on behalf of the Company Group is consistent in all material respects with the Company Product information as approved or cleared by the FDA or other competent Authority in the country or jurisdiction where the advertising material has been or is used, and no advertising is conducted or disseminated for a Company Product in a country or jurisdiction where no approval, clearance or marketing authorization for such Company Product has been obtained from an Authority.</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3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2019, the Company Group has neither voluntarily nor involuntarily initiated, conducted or issued, or caused to be initiated, conducted or issued, any recall or any field corrective action, market withdrawal or replacement, safety alert, warning, “dear doctor” letter, investigator notice, or other notice or action to wholesalers, distributors, retailers, healthcare professionals, consumers or patients relating to an alleged lack of safety, efficacy or regulatory compliance of any Company Product, nor is the Company Group currently considering initiating, conducting or issuing any of the foregoing actions with respect to any Company Product. The Company Group has not received any written notice from the FDA or any other Authority regarding (i) the recall, market withdrawal or replacement of any Company Product sold or intended to be sold by the Company Group, (ii) a change in the marketing classification or a material change in the labelling of any Company Product, (iii) termination, enjoinment or suspension of the manufacturing, marketing, or distribution of a Company Product, or (iv) a negative change in reimbursement status of a Company Product.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xml:space="preserve">. None of the information supplied or to be supplied by the Company Group expressly for inclusion or incorporation by reference in (a) the filings with the SEC contemplated by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(b) mailings to Parent Shareholders with respect to the solicitation of proxies to approve the transactions contemplated by this Agreement and the Additional Agreements, if applicable, will, (i) at the time such information is filed or submitted with the SEC (provided, if such information is revised by any subsequently filed amendment to the Proxy Statement or S-4, this clause (i) shall solely refer to the time of such subsequent revision), (ii) at the time of the Parent Shareholder Meeting or (iii) at the S-4 Effective Date,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the Company Group and included in the Parent SEC Documents, the Additional Parent SEC Documents, the SEC Statement or any Other Filing).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PARENT PARTIES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as (a) set forth in the disclosure schedules delivered by Parent and Merger Sub (collectively,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to the Company prior to the execution of this Agreement (the “</w:t>
      </w:r>
      <w:r>
        <w:rPr>
          <w:rFonts w:ascii="Times New Roman" w:cs="Times New Roman" w:eastAsia="Times New Roman" w:hAnsi="Times New Roman"/>
          <w:sz w:val="18"/>
          <w:szCs w:val="18"/>
          <w:u w:val="single" w:color="auto"/>
          <w:color w:val="auto"/>
        </w:rPr>
        <w:t>Parent Disclosure Schedules</w:t>
      </w:r>
      <w:r>
        <w:rPr>
          <w:rFonts w:ascii="Times New Roman" w:cs="Times New Roman" w:eastAsia="Times New Roman" w:hAnsi="Times New Roman"/>
          <w:sz w:val="18"/>
          <w:szCs w:val="18"/>
          <w:color w:val="auto"/>
        </w:rPr>
        <w:t>”) (with specific reference to the particular section or subsection of this Agreement to which the information set forth in such disclosure letter relates (which qualify (i) the correspondingly numbered representation, warranty or covenant specified therein and (ii) such other representations, warranties or covenants where its relevance as an exception to (or disclosure for purposes of) such other representation, warranty or covenant is reasonably apparent on its face or cross-referenced) or (b) disclosed in the Parent SEC Documents filed with or furnished to the SEC prior to the date of this Agreement (other than any risk factor disclosures, disclosures in any forward-looking statements disclaimers or other similar cautionary or predictive statements therein) it being acknowledged that nothing disclosed in such Parent SEC Documents shall be deemed to modify or qualify the representations and warranties set forth in Sections 6.1, 6.2 or 6.5, the Parent Parties hereby represent and warrant to the Company that each of the following representations and warranties are true, correct and complete as of the date of this Agreement: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Corporate Existence and Power; Merger Sub</w:t>
      </w:r>
      <w:r>
        <w:rPr>
          <w:rFonts w:ascii="Times New Roman" w:cs="Times New Roman" w:eastAsia="Times New Roman" w:hAnsi="Times New Roman"/>
          <w:sz w:val="18"/>
          <w:szCs w:val="18"/>
          <w:color w:val="auto"/>
        </w:rPr>
        <w:t>. Parent is an exempted company duly incorporated, validly existing and in good standing under the laws of the Cayman Islands. Each of Parent and Merger Sub is a company duly organized, validly existing and in good standing under the laws of the State of Delaware. Each of the Parent Parties has all power and authority, corporate and otherwise, and all governmental licenses, franchises, Permits, authorizations, consents and approvals required to own and operate its properties and assets and to carry on its business as presently conducted. Each Parent Party is duly licensed or qualified to do business and is in good standing in each jurisdiction in which any properties owned or leased by it or the operation of its business as currently conducted makes such licensing or qualification necessary, except where the failure to be so licensed, qualified or in good standing would not have a Material Adverse Effect in respect of the Parent Parties. Merger Sub was formed solely for the purpose of engaging in the transactions contemplated by this Agreement and activities incidental thereto. Either Parent or a wholly owned Subsidiary of Parent owns beneficially and of record all of the outstanding capital stock of Merger Sub.</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 Each of the Parent Parties has all requisite corporate power and authority to execute and deliver this Agreement and the Additional Agreements to which it is a party and to consummate the transactions contemplated hereby and thereby, in the case of the Merger, subject to receipt of the Parent Shareholder Approval. The execution and delivery by each of the Parent Parties of this Agreement and the Additional Agreements to which it is a party and the consummation by each of the Parent Parties of the transactions contemplated hereby and thereby have been duly authorized by all necessary corporate action on the part of such Parent Party. No other corporate proceedings on the part of such Parent Party is necessary to authorize this Agreement or the Additional Agreements to which it is a party or to consummate the transactions contemplated by this Agreement (other than, in the case of the Merger, the receipt of the Parent Shareholder Approval) or the Additional Agreements. This Agreement and the Additional Agreements to which such Parent Party is a party have been duly executed and delivered by such Parent Party and, assuming the due authorization, execution and delivery by each of the other parties hereto and thereto (other than a Parent Party), this Agreement and the Additional Agreements to which such Parent Party is a party constitute a legal, valid and binding obligation of such Parent Party, enforceable against such Parent Party in accordance with their respective terms, subject to the Enforceability Exceptions. The only vote of Parent Shareholders necessary to adopt this Agreement and approve the Domestication, the Merger and the consummation of the other transactions contemplated hereby is: (a) with respect to the Domestication, a Special Resolution under Cayman Islands law, being the affirmative vote of a majority of at least two-thirds of the Parent Shareholders who attend and vote at the Parent Shareholder Meeting; and (b) with respect to any other proposal proposed to the Parent Shareholders, the requisite approval required under Parent’s amended and restated memorandum and articles of association, the Cayman Islands Companies Act or other applicable law (the “</w:t>
      </w:r>
      <w:r>
        <w:rPr>
          <w:rFonts w:ascii="Times New Roman" w:cs="Times New Roman" w:eastAsia="Times New Roman" w:hAnsi="Times New Roman"/>
          <w:sz w:val="18"/>
          <w:szCs w:val="18"/>
          <w:u w:val="single" w:color="auto"/>
          <w:color w:val="auto"/>
        </w:rPr>
        <w:t>Parent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The affirmative vote or written consent of the sole stockholder of Merger Sub is the only vote of the holders of any of Merger Sub’s capital stock necessary to adopt this Agreement and approve the Merger and the consummation of the other transactions contemplated hereby.</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xml:space="preserve">. Assuming the accuracy of the representations and warranties of the Company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none of the execution, delivery or performance of this Agreement or any Additional Agreement by a Parent Party or the consummation by a Parent Party of the transactions contemplated hereby and thereby requires any consent, approval, license or other action by or in respect of, or registration, declaration or filing with any Authority except for (a) the filing of the Certificate of Merger with the Secretary of State of the State of Delaware pursuant to the DGCL and (b) in connection with the Domestication.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by a Parent Party of this Agreement or the consummation by a Parent Party of the transactions contemplated hereby do not and will not (a) contravene or conflict with the organizational or constitutive documents of the Parent Parties or (b) contravene or conflict with or constitute a violation of any provision of any Law or any Order binding upon the Parent Parties, (c) (i) require consent, approval or waiver under, (ii) constitute a default under or breach of (with or without the giving of notice or the passage of time or both), (iii) violate, (iv) give rise to any right of termination, cancellation, amendment or acceleration of any right or obligation of the Parent Parties or to a loss of any material benefit to which any Parent Party is entitled, in the case of each of clauses (i) – (iv), under any provision of any material Contract to which a Parent Party is a party or by which a Parent Party is bound, or (d) result in the creation or imposition of any Lien (except for Permitted Liens) on any Parent Party’s properties, rights or assets, in the cases of clauses (b) through (d), other than as would not be reasonably expected to, individually or in the aggregate, have a Material Adverse Effect in respect of the Parent Parties.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for the Persons identified on </w:t>
      </w:r>
      <w:r>
        <w:rPr>
          <w:rFonts w:ascii="Times New Roman" w:cs="Times New Roman" w:eastAsia="Times New Roman" w:hAnsi="Times New Roman"/>
          <w:sz w:val="18"/>
          <w:szCs w:val="18"/>
          <w:u w:val="single" w:color="auto"/>
          <w:color w:val="auto"/>
        </w:rPr>
        <w:t>Schedule 6.5</w:t>
      </w:r>
      <w:r>
        <w:rPr>
          <w:rFonts w:ascii="Times New Roman" w:cs="Times New Roman" w:eastAsia="Times New Roman" w:hAnsi="Times New Roman"/>
          <w:sz w:val="18"/>
          <w:szCs w:val="18"/>
          <w:color w:val="auto"/>
        </w:rPr>
        <w:t xml:space="preserve"> of the Parent Disclosure Schedules, there is no investment banker, broker, finder or other intermediary which has been retained by or is authorized to act on behalf of the Parent Parties or their Affiliates who might be entitled to any fee or commission from any Parent Party, the Company or any of its Affiliates upon consummation of the transactions contemplated by this Agreement or any of the Additional Agreements.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Merger Consideration Shares and Earnout Shares, when issued in accordance with this Agreement, will be duly authorized and validly issued, will be fully paid and nonassessable, and each such Merger Consideration Share and Earnout Share shall be issued free and clear of preemptive rights and all Liens, other than transfer restrictions under applicable securities laws or pursuant to an Additional Agreement and the organizational or constitutive documents of Parent. The Merger Consideration Shares and the Earnout Shares shall be issued in compliance with all applicable securities Laws and other applicable Laws and without contravention of any other person’s rights therein or with respect thereto.</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8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Parent is US$10,100 divided into 100,000,000 Parent Ordinary Shares and 1,000,000 preference shares of a par value of US$0.0001 each (“</w:t>
      </w:r>
      <w:r>
        <w:rPr>
          <w:rFonts w:ascii="Times New Roman" w:cs="Times New Roman" w:eastAsia="Times New Roman" w:hAnsi="Times New Roman"/>
          <w:sz w:val="18"/>
          <w:szCs w:val="18"/>
          <w:u w:val="single" w:color="auto"/>
          <w:color w:val="auto"/>
        </w:rPr>
        <w:t>Parent Preferred Shares</w:t>
      </w:r>
      <w:r>
        <w:rPr>
          <w:rFonts w:ascii="Times New Roman" w:cs="Times New Roman" w:eastAsia="Times New Roman" w:hAnsi="Times New Roman"/>
          <w:sz w:val="18"/>
          <w:szCs w:val="18"/>
          <w:color w:val="auto"/>
        </w:rPr>
        <w:t>”), of which 20,450,000 Parent Ordinary Shares and no Parent Preferred Shares are issued and outstanding. In addition, 1,500,000 Parent Warrants exercisable for 1,500,000 Parent Ordinary Shares are issued and outstanding. No other shares of capital stock or other voting securities of Parent are issued, reserved for issuance or outstanding. All issued and outstanding Parent Ordinary Shares are duly authorized, validly issued, fully paid and nonassessable and are not subject to, and were not issued in violation of, any purchase option, right of first refusal, preemptive right, subscription right or any similar right under any provision of Cayman Islands law, Parent’s amended and restated memorandum and articles of association or any contract to which Parent is a party or by which Parent is bound. Except as set forth in Parent’s amended and restated memorandum and articles of association, there are no outstanding contractual obligations of Parent to repurchase, redeem or otherwise acquire any Parent Ordinary Shares or any capital equity of Parent. There are no outstanding contractual obligations of Parent to provide funds to, or make any investment (in the form of a loan, capital contribution or otherwise) in, any other Person. All outstanding Parent Ordinary Shares and Parent Warrants have been issued in compliance with all applicable securities and other applicable Laws and were issued free and clear of all Liens other than transfer restrictions under applicable securities Laws and the organizational or constitute documents of Parent.</w:t>
      </w:r>
    </w:p>
    <w:p>
      <w:pPr>
        <w:spacing w:after="0" w:line="18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8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is authorized to issue 1,000 shares of common stock, par value $0.01 per share (“</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of which 1,000 shares of Merger Sub Common Stock are issued and outstanding as of the date hereof. No other shares of capital stock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Parent Parties expressly for inclusion or incorporation by reference in the filings with the SEC and mailings to Parent Shareholders with respect to the solicitation of proxies to approve the transactions contemplated by this Agreement and the Additional Agreements, if applicable, will, at the date of filing or mailing, at the time of the Parent Shareholder Meeting or at the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the SEC Statement or any Other Filing).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As of the date of this Agreement, Parent has at least $160,036,712 in the trust fund established by Parent for the benefit of its public stockholders (the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in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maintained by Continental Stock Transfer &amp; Trust Company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at J.P. Morgan Chase Bank, N.A., and such monies are invested in “government securities” (as such term is defined in the Investment Company Act of 1940) and held in trust by the Trustee pursuant to the Investment Management Trust Agreement dated as of August 3, 2020, between Parent and the Trustee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Parent Shareholders holding Parent Ordinary Shares sold in Parent’s IPO who shall have elected to redeem their Parent Ordinary Shares pursuant to Parent’s amended and restated memorandum and articles of association) to any portion of the proceeds in the Trust Account. Prior to the Closing, none of the funds held in the Trust Account may be, and none of such have been, released except in accordance with the Trust Agreement and Parent’s amended and restated memorandum and articles of association. Parent has performed all material obligations required to be performed by it to date under the Trust Agreement and is not in material default or delinquent in performance or any other respect (claimed or actual) in connection with, the Trust Agreement, and, to the Knowledge of Parent, no event has occurred which, with due notice or lapse of time or both, would reasonably be expected to constitute such a material default thereunder. There are no claims or proceedings pending with respect to the Trust Account. Upon the consummation of the transactions contemplated hereby, including the distribution of assets from the Trust Account,</w:t>
      </w:r>
    </w:p>
    <w:p>
      <w:pPr>
        <w:spacing w:after="0" w:line="11" w:lineRule="exact"/>
        <w:rPr>
          <w:sz w:val="20"/>
          <w:szCs w:val="20"/>
          <w:color w:val="auto"/>
        </w:rPr>
      </w:pPr>
    </w:p>
    <w:p>
      <w:pPr>
        <w:jc w:val="both"/>
        <w:ind w:firstLine="8"/>
        <w:spacing w:after="0" w:line="253" w:lineRule="auto"/>
        <w:tabs>
          <w:tab w:leader="none" w:pos="2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deferred underwriting commissions or Taxes or (b) to holders of Parent Ordinary Shares who have elected to redeem their Parent Ordinary Shares pursuant to Parent’s amended and restated memorandum and articles of association, each in accordance with the terms of and as set forth in the Trust Agreement, Parent shall have no further obligation under either the Trust Agreement or Parent’s organizational documents to liquidate or distribute any assets held in the Trust Account, and the Trust Agreement shall terminate in accordance with its terms.</w:t>
      </w:r>
    </w:p>
    <w:p>
      <w:pPr>
        <w:spacing w:after="0" w:line="18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80" w:hanging="576"/>
        <w:spacing w:after="0"/>
        <w:tabs>
          <w:tab w:leader="none" w:pos="18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board of directors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(including any required committee or subgroup of such board) has unanimously</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22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the advisability of the transactions contemplated by this Agreement, (ii) determined that the transactions contemplated hereby are in the best interests of the Parent Shareholders, (iii) determined that the transactions contemplated hereby constitutes a “Business Combination” as such term is defined in Parent’s amended and restated memorandum and articles of association and (iv) recommended to Parent Shareholders to adopt and approve each of the Parent Proposals (“</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right="20" w:firstLine="1304"/>
        <w:spacing w:after="0" w:line="282" w:lineRule="auto"/>
        <w:tabs>
          <w:tab w:leader="none" w:pos="20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Sub’s Board of Directors has, as of the date of this Agreement, unanimously (i) declared the advisability of the transactions contemplated by this Agreement and (ii) determined that the transactions contemplated hereby are in the best interests of its sole stockholder.</w:t>
      </w:r>
    </w:p>
    <w:p>
      <w:pPr>
        <w:spacing w:after="0" w:line="16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7"/>
          <w:szCs w:val="17"/>
          <w:u w:val="single" w:color="auto"/>
          <w:color w:val="auto"/>
        </w:rPr>
        <w:t>Parent SEC Documents and Financial Statements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9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6.11</w:t>
      </w:r>
      <w:r>
        <w:rPr>
          <w:rFonts w:ascii="Times New Roman" w:cs="Times New Roman" w:eastAsia="Times New Roman" w:hAnsi="Times New Roman"/>
          <w:sz w:val="18"/>
          <w:szCs w:val="18"/>
          <w:color w:val="auto"/>
        </w:rPr>
        <w:t xml:space="preserve"> of the Parent Disclosure Schedules, Parent has timely filed all forms, reports, schedules, statements and other documents, including any exhibits thereto, required to be filed or furnished by Parent with the SEC since Parent’s incorporation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this Agreement (the “</w:t>
      </w:r>
      <w:r>
        <w:rPr>
          <w:rFonts w:ascii="Times New Roman" w:cs="Times New Roman" w:eastAsia="Times New Roman" w:hAnsi="Times New Roman"/>
          <w:sz w:val="18"/>
          <w:szCs w:val="18"/>
          <w:u w:val="single" w:color="auto"/>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xml:space="preserve">”). Parent has made available to the Company copies in the form filed with the SEC of all of the following, except to the extent available in full without redaction on the SEC’s website through EDGAR for at least two (2) Business Days prior to the date of this Agreement: (i) Parent’s Annual Reports on Form 10-K for each fiscal year of Parent beginning with the first year that Parent was required to file such a form, (ii) all proxy statements relating to general meetings of Parent (whether annual or extraordinary) held, and all information statements relating to stockholder consents, since the beginning of the first fiscal year referred to in clause (i) above, (iii) its Form 8-Ks filed since the beginning of the first fiscal year referred to in clause (i) above, and (iv) all other forms, reports, registration statements and other documents (other than preliminary materials if the corresponding definitive materials have been provided to the Company pursuant to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filed by Parent with the SEC since Parent’s incorporation (the forms, reports, registration statements and other documents referred to in clauses (i) through (iv) above, whether or not available through EDGAR, collectively, the “</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As of the date of this Agreement, there are no outstanding or unresolved comments in comment letters received from the SEC with respect to the Parent SEC Document or the Additional Parent SEC Documents.</w:t>
      </w:r>
    </w:p>
    <w:p>
      <w:pPr>
        <w:spacing w:after="0" w:line="19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SEC Documents were, and the Additional Parent SEC Documents will be, prepared in all material respects in accordance with the requirements of the Securities Act, the Exchange Act, and the Sarbanes-Oxley Act, as the case may be, and the rules and regulations thereunder. Parent SEC Documents did not, and the Additional Parent SEC Documents will not, at the time they were or are filed, as the case may be, with the SEC (except to the extent that information contained in any Parent SEC Document or Additional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does not apply to statements in or omissions in any information supplied or to be supplied by the Company Group expressly for inclusion or incorporation by reference in the SEC Statement or Other Filing.</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8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the term “file” shall be broadly construed to include any manner in which a document or information is furnished, supplied or otherwise made available to the SEC.</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3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 required in reliance on exemptions from various reporting requirements by virtue of Parent’s status as an “emerging growth company” within the meaning of the Securities Act, as modified by the JOBS Act, or “smaller reporting company” within the meaning of the Exchange Act, since its initial public offering, (i) Parent has established and maintained a system of internal control over financial reporting (as defined in Rule 13a-15 and Rule 15d-15 under the Exchange Act) sufficient to provide reasonable assurance regarding the reliability of Parent’s financial reporting and the preparation of Parent’s financial statements for external purposes in accordance with GAAP and (ii) Parent has established and maintained disclosure controls and procedures (as defined in Rule 13a-15 and Rule 15d-15 under the Exchange Act) designed to ensure that material information relating to Parent is made known to Parent’s principal executive officer and principal financial officer by others within Parent.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ind w:left="1820" w:hanging="516"/>
        <w:spacing w:after="0"/>
        <w:tabs>
          <w:tab w:leader="none" w:pos="18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taken any action prohibited by Section 402 of the Sarbanes-Oxley Act.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initial public offering, Parent has complied in all material respects with all applicable listing and corporate governance rules and regulations of Nasdaq. The classes of securities representing issued and outstanding Parent Ordinary Shares are registered pursuant to Section 12(b) of the Exchange Act and are listed for trading on Nasdaq. As of the date of this Agreement, there is no material Action pending or, to the Knowledge of Parent, threatened against Parent by Nasdaq or the SEC with respect to any intention by such entity to deregister Parent Ordinary Shares or prohibit or terminate the listing of Parent Ordinary Shares. Parent has not taken any action that is designed to terminate the registration of Parent Ordinary Shares under the Exchange Act.</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financial statements of Parent included in the Parent SEC Documents and any amendments thereto (collectively,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(i) fairly present in all material respects the financial position of Parent as at the respective dates thereof, and the results of its operations, shareholders’ equity and cash flows for the respective periods then ended (subject, in the case of any unaudited interim financial statements, to normal year-end audit adjustments (none of which is material) and the absence of footnotes), (ii) were prepared in conformity with GAAP applied on a consistent basis during the periods involved (subject, in the case of any unaudited financial statements, to normal year-end audit adjustments (none of which is material) and the absence of footnotes), (iii) in the case of the audited Parent Financial Statements, were audited in accordance with the standards of the PCAOB and (iv) 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established and maintains systems of internal accounting controls that are designed to provide, in all material respects, reasonable assurance that (i) all of its transactions are executed in accordance with management’s authorization and (ii) all of its transactions are recorded as necessary to permit preparation of proper and accurate financial statements in accordance with GAAP and to maintain accountability for Parent’s and its Subsidiaries’ assets.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initial public offering, Parent has not received any written complaint, allegation, assertion or claim that there is (i) a “significant deficiency” in the internal controls over financial reporting of Parent, (ii) a “material weakness” in the internal controls over financial reporting of Parent or (iii) fraud, whether or not material, that involves management or other employees of Parent who have a significant role in the internal controls over financial reporting of Parent.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 No Parent Party nor any Representative of a Parent Party has (a) used any funds for unlawful contributions, gifts, entertainment or other unlawful expenses relating to political activity, (b) made any unlawful payment to foreign or domestic government officials, employees or political parties or campaigns, (c) violated any provision of the Foreign Corrupt Practices Act or (d) made any other unlawful payment. No Parent Party nor any director, officer, agent or employee of a Parent Party (nor any Person acting on behalf of any of the foregoing, but solely in his or her capacity as a director, officer, employee or agent of a Parent Party) has, since the IPO, directly or indirectly, given or agreed to give any gift or similar benefit in any material amount to any customer, supplier, governmental employee or other Person who is or may be in a position to help or hinder a Parent Party or assist a Parent Party in connection with any actual or proposed transaction, which, if not given or continued in the future, would reasonably be expected to (i) adversely affect the business of the Parent Parties and (ii) subject any Parent Party to suit or penalty in any private or governmental Action.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International Trade Control and Other Laws</w:t>
      </w:r>
      <w:r>
        <w:rPr>
          <w:rFonts w:ascii="Times New Roman" w:cs="Times New Roman" w:eastAsia="Times New Roman" w:hAnsi="Times New Roman"/>
          <w:sz w:val="18"/>
          <w:szCs w:val="18"/>
          <w:color w:val="auto"/>
        </w:rPr>
        <w:t>. The operations of the Parent Parties are and have at all times been conducted in compliance with International Trade Control Laws, and no Action involving a Parent Party with respect to the International Trade Control Laws is pending or, to the knowledge of the Parent Parties, threatened. Without limiting the generality of the foregoing, each Parent Party is (and since its organization, incorporation or formation, as applicable, has been) in compliance with all applicable Laws, other than as would not be reasonably expected to, individually or in the aggregate, have a Material Adverse Effect in respect of the Parent Parties.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as described in Parent SEC Documents, there are no transactions, agreements, arrangements or understandings between a Parent Party or any of its Subsidiaries, on the one hand, and any director, officer, employee, stockholder, warrant holder or Affiliate of a Parent Party or any of its Subsidiaries, on the other hand.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 Action pending or, to the Knowledge of Parent, threatened against Parent or any of its Subsidiaries or that affects its or their assets or properties, or (b) Order outstanding against Parent or any of its Subsidiaries or that affects its or their assets or properties. Neither Parent nor any of its Subsidiaries is party to a settlement or similar agreement regarding any of the matters set forth in the preceding sentence that contains any ongoing obligations, restrictions or liabilities (of any nature) that are material to Parent and any of its Subsidiaries. As of the date of this Agreement, there are no material Actions by any Parent Party pending against any other Person.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Expenses, Indebtedness and Other Liabilities</w:t>
      </w:r>
      <w:r>
        <w:rPr>
          <w:rFonts w:ascii="Times New Roman" w:cs="Times New Roman" w:eastAsia="Times New Roman" w:hAnsi="Times New Roman"/>
          <w:sz w:val="18"/>
          <w:szCs w:val="18"/>
          <w:color w:val="auto"/>
        </w:rPr>
        <w:t>. Except as set forth in the Parent SEC Documents, Parent does not have any Indebtedness or other liabilities.</w:t>
      </w:r>
    </w:p>
    <w:p>
      <w:pPr>
        <w:spacing w:after="0" w:line="16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6.17</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1" w:lineRule="auto"/>
        <w:tabs>
          <w:tab w:leader="none" w:pos="184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Parent Party has duly and timely filed all United States federal income Tax Returns and other material Tax returns it was required to file, and has paid all Taxes which have become due; (ii) all such Tax Returns are true, correct and complete in all material respects; (iii) there is no Action, pending or proposed in writing or, to the knowledge of the Parent Parties, threatened, with respect to Taxes of the Parent Parties; (iv) no statute of limitations in respect of the assessment or collection of any Taxes of the Parent Parties for which a Lien may be imposed on any of the Parent Parties’ assets has been waived or extended, which waiver or extension is in effect, except for automatic extensions of time to file Tax Returns obtained in the ordinary course of business; (v) to the knowledge of the Parent Parties, the Parent Parties complied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Purchase Parties; (vi) none of the assets of the Parent Parties is required to be treated as owned by another Person for U.S. federal income Tax purposes pursuant to Section 168(f)(8) of the Code (as in effect prior to its amendment by the Tax Reform Act of 1986); (vii) there is no Lien for Taxes upon any of the assets of the Parent Parties that arose in connection with any failure (or alleged failure) to pay any Tax; (viii) there is no outstanding request for a ruling from any Taxing Authority, request for a consent by a Taxing Authority for a change in a method of accounting or closing agreement with any Taxing Authority (within the meaning of Section 7121 of the Code or any analogous provision of the applicable Law), with respect to the Parent Parties; (ix) no claim has been made by a Taxing Authority in a jurisdiction where the Parent Parties have not paid any tax or filed Tax Returns, asserting that the any of the Parent Parties is or may be subject to Tax in such jurisdiction; (x) no Parent Party is, or has ever been, a party to any Tax sharing or Tax allocation Contract, other than any customary commercial contract the principal subject of which is not Taxes; (xiv) no Parent Party is currently or has ever been included in any consolidated, combined or unitary Tax Return other than a Tax Return that includes only the Parent Parties; (xv) the Parent Parties have properly collected all material sales Taxes required to be collected in the time and manner required by applicable Law and remitted all such sales Taxes to the applicable Taxing authority in the time and in the manner required by applicable Law; (xvi) no Parent Party has any liability for the Taxes of any other Person: (A) under Treasury Regulation Section 1.1502-6 (or any similar provision of applicable Law), (B) as a transferee or successor or by contract (other than any contract the principal subject matter of which is unrelated to Taxes) or (C) otherwise by operation of applicable Law; (xvii) no Parent Party has requested any extension of time within which to file any Tax Return (other than automatic extensions or extensions requested in the ordinary course of business), which Tax Return has since not been filed; and (xviii) no Parent Party has deferred the withholding or remittance of any Applicable Taxes related or attributable to any Applicable Wages for any employees of the Parent Parties; and (xix) no Parent Party has disclosed on its Tax Returns any Tax reporting position taken in any Tax Return which could result in the imposition of penalties under Section 6662 of the Code (or any comparable provisions of state, local or foreign Law) and no Parent Party has been a party to any “reportable transaction” or “listed transaction” as defined in Section 6707A(c) of the Code and Treasury Regulation Section 1.6011-4(b).</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both"/>
        <w:ind w:firstLine="1304"/>
        <w:spacing w:after="0" w:line="261" w:lineRule="auto"/>
        <w:tabs>
          <w:tab w:leader="none" w:pos="183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Parent Party will be required to include any material item of income or exclude any material item of deduction for any taxable period beginning after the Closing Date as a result of: (i) Code Section 481 resulting from a change in method of accounting made before the Closing Date;</w:t>
      </w:r>
    </w:p>
    <w:p>
      <w:pPr>
        <w:jc w:val="both"/>
        <w:ind w:firstLine="8"/>
        <w:spacing w:after="0" w:line="253" w:lineRule="auto"/>
        <w:tabs>
          <w:tab w:leader="none" w:pos="26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closing agreement described in Section 7121 of the Code (or similar provision of state, local or foreign Law) entered into by a Parent Party before the Closing; (iii) any installment sale or open sale transaction disposition made by a Parent Party before the Closing; (iv) any prepaid amount received outside of the ordinary course of business by a Parent Party before the Closing; or (v) any intercompany transaction or excess loss account described in Treasury Regulations under Section 1502 of the Code (or any corresponding or similar provision of state, local or non-U.S. income Tax law) existing before the Closing.</w:t>
      </w:r>
    </w:p>
    <w:p>
      <w:pPr>
        <w:spacing w:after="0" w:line="18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9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Parent Parties for the current fiscal year (i) did not, as of the most recent fiscal month end, materially exceed the reserve for Tax liability (other than any reserve for deferred Taxes established to reflect timing differences between book and Tax income) set forth on the Financial Statements and (ii) will not, as of the Closing Date, materially exceed that reserve as adjusted for the passage of time through the Closing Date in accordance with the past custom and practice of the Parent Parties in filing its Tax Return.</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Parent Parties has taken, intends to take, or has agreed to take any action or is aware of any fact or circumstance that, to the Parent’s Knowledge, would prevent or impede, or would reasonably be expected to prevent or impede, either of the Domestication or the Merger from qualifying as reorganizations governed by Section 368 of the Code.</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6.18</w:t>
      </w:r>
      <w:r>
        <w:rPr>
          <w:sz w:val="20"/>
          <w:szCs w:val="20"/>
          <w:color w:val="auto"/>
        </w:rPr>
        <w:tab/>
      </w:r>
      <w:r>
        <w:rPr>
          <w:rFonts w:ascii="Times New Roman" w:cs="Times New Roman" w:eastAsia="Times New Roman" w:hAnsi="Times New Roman"/>
          <w:sz w:val="18"/>
          <w:szCs w:val="18"/>
          <w:u w:val="single" w:color="auto"/>
          <w:color w:val="auto"/>
        </w:rPr>
        <w:t>Business Activities;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8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incorporation, Parent has not conducted any business activities other than activities (i) in connection with or incidental or related to its incorporation, initial public offering or continuing corporate (or similar) existence, (ii) directed toward the accomplishment of a business combination, including those incidental or related to or incurred in connection with the negotiation, preparation or execution of this Agreement or any Additional Agreements, the performance of its covenants or agreements in this Agreement or any Additional Agreement or the consummation of the transactions contemplated hereby or thereby or (iii) those that are administrative, ministerial or otherwise immaterial in nature.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both"/>
        <w:ind w:firstLine="1304"/>
        <w:spacing w:after="0" w:line="258" w:lineRule="auto"/>
        <w:tabs>
          <w:tab w:leader="none" w:pos="185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was organized solely for the purpose of entering into this Agreement, the Additional Agreements and consummating the transactions contemplated hereby and thereby and has not engaged in any activities or business, other than those incidental or related to or incurred in connection with its organization, incorporation or formation, as applicable, or continuing corporate (or similar) existence or the negotiation, preparation or execution of this Agreement or any Additional Agreements, the performance of its covenants or agreements in this Agreement or any Additional Agreement or the consummation of the transactions contemplated hereby or thereby.</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0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6.19(c) of the Parent Disclosure Schedules lists all material Contracts to which any of the Parent Parties is a party or by which any of the Parent Parties’ assets is bound as of the date hereof, other than those Contracts that are included in the Parent SEC Documents and are available in full without redaction on the SEC’s website through EDGAR.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PARTIES PENDING CLOSING</w:t>
      </w:r>
    </w:p>
    <w:p>
      <w:pPr>
        <w:spacing w:after="0" w:line="20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u w:val="single" w:color="auto"/>
          <w:color w:val="auto"/>
        </w:rPr>
        <w:t>Conduct of the Business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33" w:lineRule="auto"/>
        <w:tabs>
          <w:tab w:leader="none" w:pos="21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 and Parent covenants and agrees that, except as expressly contemplated by this Agreement or the Additional Agreements or as set forth on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from the date hereof until the earlier of the Closing Date and the termination of this Agreement in accordance with its terms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each party shall (i) conduct its business only in the ordinary course consistent with past practice, (ii) duly and timely file all material Tax Returns required to be filed by it (or obtain a permitted extension with respect thereto) with the applicable Taxing Authorities and pay any and all material Taxes due and payable by it during such time period, (iii) duly observe and comply with all applicable Laws and Orders, and (iv) use commercially reasonable efforts to preserve substantially intact its current relationships with clients, suppliers, contract manufacturing organizations, contract research organizations and other third parties, in each case, with which such party has significant business relations.</w:t>
      </w:r>
    </w:p>
    <w:p>
      <w:pPr>
        <w:spacing w:after="0" w:line="19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9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and, except as expressly contemplated by this Agreement or the Additional Agreements, as required by applicable Law, or as set forth on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during the Interim Period, without the other party’s prior written consent (which shall not be unreasonably conditioned, withheld or delayed), neither the Company nor Parent shall, or permit its Subsidiaries to:</w:t>
      </w:r>
    </w:p>
    <w:p>
      <w:pPr>
        <w:spacing w:after="0" w:line="17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634" w:val="left"/>
        </w:tabs>
        <w:numPr>
          <w:ilvl w:val="1"/>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amend, modify or supplement its certificate of incorporation or bylaws or other organizational or governing documents except as contemplated hereby, or engage in any reorganization, reclassification, liquidation, dissolution or similar transaction;</w:t>
      </w:r>
    </w:p>
    <w:p>
      <w:pPr>
        <w:spacing w:after="0" w:line="161" w:lineRule="exact"/>
        <w:rPr>
          <w:rFonts w:ascii="Times New Roman" w:cs="Times New Roman" w:eastAsia="Times New Roman" w:hAnsi="Times New Roman"/>
          <w:sz w:val="18"/>
          <w:szCs w:val="18"/>
          <w:color w:val="010000"/>
        </w:rPr>
      </w:pPr>
    </w:p>
    <w:p>
      <w:pPr>
        <w:ind w:left="660" w:right="20" w:firstLine="1292"/>
        <w:spacing w:after="0" w:line="282" w:lineRule="auto"/>
        <w:tabs>
          <w:tab w:leader="none" w:pos="2639" w:val="left"/>
        </w:tabs>
        <w:numPr>
          <w:ilvl w:val="1"/>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amend, waive any provision of, or terminate prior to its scheduled expiration date, (A) in the case of the Company, any Material Contract or (B) in the case of Parent, material contract, agreement, lease, license or other right or asset of Parent, as applicable;</w:t>
      </w:r>
    </w:p>
    <w:p>
      <w:pPr>
        <w:spacing w:after="0" w:line="161" w:lineRule="exact"/>
        <w:rPr>
          <w:rFonts w:ascii="Times New Roman" w:cs="Times New Roman" w:eastAsia="Times New Roman" w:hAnsi="Times New Roman"/>
          <w:sz w:val="18"/>
          <w:szCs w:val="18"/>
          <w:color w:val="010000"/>
        </w:rPr>
      </w:pPr>
    </w:p>
    <w:p>
      <w:pPr>
        <w:ind w:left="660" w:firstLine="1292"/>
        <w:spacing w:after="0" w:line="282" w:lineRule="auto"/>
        <w:tabs>
          <w:tab w:leader="none" w:pos="2725" w:val="left"/>
        </w:tabs>
        <w:numPr>
          <w:ilvl w:val="1"/>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 than in the ordinary course of business consistent with past practice, enter into any contract, agreement, lease, license or commitment that would constitute a Material Contract hereunder;</w:t>
      </w:r>
    </w:p>
    <w:p>
      <w:pPr>
        <w:spacing w:after="0" w:line="161" w:lineRule="exact"/>
        <w:rPr>
          <w:rFonts w:ascii="Times New Roman" w:cs="Times New Roman" w:eastAsia="Times New Roman" w:hAnsi="Times New Roman"/>
          <w:sz w:val="18"/>
          <w:szCs w:val="18"/>
          <w:color w:val="010000"/>
        </w:rPr>
      </w:pPr>
    </w:p>
    <w:p>
      <w:pPr>
        <w:ind w:left="2580" w:hanging="628"/>
        <w:spacing w:after="0"/>
        <w:tabs>
          <w:tab w:leader="none" w:pos="2580" w:val="left"/>
        </w:tabs>
        <w:numPr>
          <w:ilvl w:val="1"/>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any capital expenditures in excess of $100,000 (individually or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4230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ind w:left="4" w:right="20" w:firstLine="1292"/>
        <w:spacing w:after="0" w:line="282" w:lineRule="auto"/>
        <w:tabs>
          <w:tab w:leader="none" w:pos="2076" w:val="left"/>
        </w:tabs>
        <w:numPr>
          <w:ilvl w:val="1"/>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sell, lease, license or otherwise dispose of any of the Company Group’s or Parent’s, as applicable, material assets, except pursuant to existing contracts or commitments disclosed herein or in the ordinary course of business consistent with past practice;</w:t>
      </w:r>
    </w:p>
    <w:p>
      <w:pPr>
        <w:spacing w:after="0" w:line="161" w:lineRule="exact"/>
        <w:rPr>
          <w:rFonts w:ascii="Times New Roman" w:cs="Times New Roman" w:eastAsia="Times New Roman" w:hAnsi="Times New Roman"/>
          <w:sz w:val="18"/>
          <w:szCs w:val="18"/>
          <w:color w:val="010000"/>
        </w:rPr>
      </w:pPr>
    </w:p>
    <w:p>
      <w:pPr>
        <w:ind w:left="1924" w:hanging="628"/>
        <w:spacing w:after="0"/>
        <w:tabs>
          <w:tab w:leader="none" w:pos="1924" w:val="left"/>
        </w:tabs>
        <w:numPr>
          <w:ilvl w:val="1"/>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solely in the case of the Company, sell, lease, license or otherwise dispose of any Company Owned IP;</w:t>
      </w:r>
    </w:p>
    <w:p>
      <w:pPr>
        <w:spacing w:after="0" w:line="225" w:lineRule="exact"/>
        <w:rPr>
          <w:rFonts w:ascii="Times New Roman" w:cs="Times New Roman" w:eastAsia="Times New Roman" w:hAnsi="Times New Roman"/>
          <w:sz w:val="18"/>
          <w:szCs w:val="18"/>
          <w:color w:val="010000"/>
        </w:rPr>
      </w:pPr>
    </w:p>
    <w:p>
      <w:pPr>
        <w:ind w:left="4" w:firstLine="1292"/>
        <w:spacing w:after="0" w:line="282" w:lineRule="auto"/>
        <w:tabs>
          <w:tab w:leader="none" w:pos="1992" w:val="left"/>
        </w:tabs>
        <w:numPr>
          <w:ilvl w:val="1"/>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solely in the case of the Company, permit any material Registered Owned IP to go abandoned or expire for failure to make an annuity or maintenance fee payment, or file any necessary paper or action to maintain such rights;</w:t>
      </w:r>
    </w:p>
    <w:p>
      <w:pPr>
        <w:spacing w:after="0" w:line="161" w:lineRule="exact"/>
        <w:rPr>
          <w:rFonts w:ascii="Times New Roman" w:cs="Times New Roman" w:eastAsia="Times New Roman" w:hAnsi="Times New Roman"/>
          <w:sz w:val="18"/>
          <w:szCs w:val="18"/>
          <w:color w:val="010000"/>
        </w:rPr>
      </w:pPr>
    </w:p>
    <w:p>
      <w:pPr>
        <w:jc w:val="both"/>
        <w:ind w:left="4" w:firstLine="1292"/>
        <w:spacing w:after="0" w:line="261" w:lineRule="auto"/>
        <w:tabs>
          <w:tab w:leader="none" w:pos="2069" w:val="left"/>
        </w:tabs>
        <w:numPr>
          <w:ilvl w:val="1"/>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pay, declare or promise to pay any dividends, distributions or other amounts with respect to its capital stock or other equity securities; (B) pay, declare or promise to pay any other amount to any stockholder or other equityholder in its capacity as such; and</w:t>
      </w:r>
    </w:p>
    <w:p>
      <w:pPr>
        <w:ind w:left="4" w:hanging="4"/>
        <w:spacing w:after="0" w:line="260" w:lineRule="auto"/>
        <w:tabs>
          <w:tab w:leader="none" w:pos="29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hereby or by any Additional Agreement, amend any term, right or obligation with respect to any outstanding shares of its capital stock or other equity securities;</w:t>
      </w:r>
    </w:p>
    <w:p>
      <w:pPr>
        <w:spacing w:after="0" w:line="181" w:lineRule="exact"/>
        <w:rPr>
          <w:rFonts w:ascii="Times New Roman" w:cs="Times New Roman" w:eastAsia="Times New Roman" w:hAnsi="Times New Roman"/>
          <w:sz w:val="18"/>
          <w:szCs w:val="18"/>
          <w:color w:val="auto"/>
        </w:rPr>
      </w:pPr>
    </w:p>
    <w:p>
      <w:pPr>
        <w:jc w:val="both"/>
        <w:ind w:left="4" w:firstLine="1292"/>
        <w:spacing w:after="0" w:line="261" w:lineRule="auto"/>
        <w:tabs>
          <w:tab w:leader="none" w:pos="2113" w:val="left"/>
        </w:tabs>
        <w:numPr>
          <w:ilvl w:val="1"/>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make any loan, advance or capital contribution to any Person; (B) incur any Indebtedness, including drawings under the lines of credit, if any, other than (1) loans evidenced by promissory notes made to Parent as working capital advances as described in the Prospectus, which shall not exceed $1,000,000 in the aggregate and (2) intercompany Indebtedness; or (C) repay or satisfy any Indebtedness, other than the repayment of Indebtedness in accordance with the terms thereof;</w:t>
      </w:r>
    </w:p>
    <w:p>
      <w:pPr>
        <w:spacing w:after="0" w:line="179" w:lineRule="exact"/>
        <w:rPr>
          <w:rFonts w:ascii="Times New Roman" w:cs="Times New Roman" w:eastAsia="Times New Roman" w:hAnsi="Times New Roman"/>
          <w:sz w:val="18"/>
          <w:szCs w:val="18"/>
          <w:color w:val="010000"/>
        </w:rPr>
      </w:pPr>
    </w:p>
    <w:p>
      <w:pPr>
        <w:ind w:left="1964" w:hanging="668"/>
        <w:spacing w:after="0"/>
        <w:tabs>
          <w:tab w:leader="none" w:pos="1964" w:val="left"/>
        </w:tabs>
        <w:numPr>
          <w:ilvl w:val="1"/>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suffer or incur any Lien, except for Permitted Liens, on such Person’s material assets;</w:t>
      </w:r>
    </w:p>
    <w:p>
      <w:pPr>
        <w:spacing w:after="0" w:line="225" w:lineRule="exact"/>
        <w:rPr>
          <w:rFonts w:ascii="Times New Roman" w:cs="Times New Roman" w:eastAsia="Times New Roman" w:hAnsi="Times New Roman"/>
          <w:sz w:val="18"/>
          <w:szCs w:val="18"/>
          <w:color w:val="010000"/>
        </w:rPr>
      </w:pPr>
    </w:p>
    <w:p>
      <w:pPr>
        <w:jc w:val="both"/>
        <w:ind w:left="4" w:firstLine="1292"/>
        <w:spacing w:after="0" w:line="266" w:lineRule="auto"/>
        <w:tabs>
          <w:tab w:leader="none" w:pos="2086" w:val="left"/>
        </w:tabs>
        <w:numPr>
          <w:ilvl w:val="1"/>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delay, accelerate or cancel, or waive any material right with respect to, any receivable or Indebtedness in excess of $250,000 owed to the Company Group or Parent, as applicable, or write off or make reserves against the same (other than, in the case of the Company, in the ordinary course of business consistent with past practices);</w:t>
      </w:r>
    </w:p>
    <w:p>
      <w:pPr>
        <w:spacing w:after="0" w:line="175" w:lineRule="exact"/>
        <w:rPr>
          <w:rFonts w:ascii="Times New Roman" w:cs="Times New Roman" w:eastAsia="Times New Roman" w:hAnsi="Times New Roman"/>
          <w:sz w:val="18"/>
          <w:szCs w:val="18"/>
          <w:color w:val="010000"/>
        </w:rPr>
      </w:pPr>
    </w:p>
    <w:p>
      <w:pPr>
        <w:ind w:left="4" w:firstLine="1292"/>
        <w:spacing w:after="0" w:line="282" w:lineRule="auto"/>
        <w:tabs>
          <w:tab w:leader="none" w:pos="2024" w:val="left"/>
        </w:tabs>
        <w:numPr>
          <w:ilvl w:val="1"/>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merge or consolidate or enter a similar transaction with, or acquire all or substantially all of the assets or business of, any other Person; or be acquired by any other Person;</w:t>
      </w:r>
    </w:p>
    <w:p>
      <w:pPr>
        <w:spacing w:after="0" w:line="161" w:lineRule="exact"/>
        <w:rPr>
          <w:rFonts w:ascii="Times New Roman" w:cs="Times New Roman" w:eastAsia="Times New Roman" w:hAnsi="Times New Roman"/>
          <w:sz w:val="18"/>
          <w:szCs w:val="18"/>
          <w:color w:val="010000"/>
        </w:rPr>
      </w:pPr>
    </w:p>
    <w:p>
      <w:pPr>
        <w:ind w:left="4" w:right="20" w:firstLine="1292"/>
        <w:spacing w:after="0" w:line="282" w:lineRule="auto"/>
        <w:tabs>
          <w:tab w:leader="none" w:pos="2015" w:val="left"/>
        </w:tabs>
        <w:numPr>
          <w:ilvl w:val="1"/>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adopt any severance, retention or other employee plan or fail to continue to make timely contributions to each Plan in accordance with the terms thereof;</w:t>
      </w:r>
    </w:p>
    <w:p>
      <w:pPr>
        <w:spacing w:after="0" w:line="161" w:lineRule="exact"/>
        <w:rPr>
          <w:rFonts w:ascii="Times New Roman" w:cs="Times New Roman" w:eastAsia="Times New Roman" w:hAnsi="Times New Roman"/>
          <w:sz w:val="18"/>
          <w:szCs w:val="18"/>
          <w:color w:val="010000"/>
        </w:rPr>
      </w:pPr>
    </w:p>
    <w:p>
      <w:pPr>
        <w:jc w:val="both"/>
        <w:ind w:left="4" w:firstLine="1292"/>
        <w:spacing w:after="0" w:line="266" w:lineRule="auto"/>
        <w:tabs>
          <w:tab w:leader="none" w:pos="2059" w:val="left"/>
        </w:tabs>
        <w:numPr>
          <w:ilvl w:val="1"/>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terminate or allow to lapse any material insurance policy that provides insurance coverage for any of the Company Group’s material assets, the absence of which would or would reasonably be expected to be material to the Company Group taken as a whole, unless a replacement policy providing substantially comparable coverage to that of the terminated or lapsed policy is obtained;</w:t>
      </w:r>
    </w:p>
    <w:p>
      <w:pPr>
        <w:spacing w:after="0" w:line="175" w:lineRule="exact"/>
        <w:rPr>
          <w:rFonts w:ascii="Times New Roman" w:cs="Times New Roman" w:eastAsia="Times New Roman" w:hAnsi="Times New Roman"/>
          <w:sz w:val="18"/>
          <w:szCs w:val="18"/>
          <w:color w:val="010000"/>
        </w:rPr>
      </w:pPr>
    </w:p>
    <w:p>
      <w:pPr>
        <w:ind w:left="4" w:right="20" w:firstLine="1292"/>
        <w:spacing w:after="0" w:line="282" w:lineRule="auto"/>
        <w:tabs>
          <w:tab w:leader="none" w:pos="1941" w:val="left"/>
        </w:tabs>
        <w:numPr>
          <w:ilvl w:val="1"/>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institute, settle or agree to settle any Action before any Authority, in each case in excess of $100,000 (exclusive of any amounts covered by insurance) or that imposes injunctive or other non-monetary relief on such party;</w:t>
      </w:r>
    </w:p>
    <w:p>
      <w:pPr>
        <w:spacing w:after="0" w:line="161" w:lineRule="exact"/>
        <w:rPr>
          <w:rFonts w:ascii="Times New Roman" w:cs="Times New Roman" w:eastAsia="Times New Roman" w:hAnsi="Times New Roman"/>
          <w:sz w:val="18"/>
          <w:szCs w:val="18"/>
          <w:color w:val="010000"/>
        </w:rPr>
      </w:pPr>
    </w:p>
    <w:p>
      <w:pPr>
        <w:ind w:left="4" w:firstLine="1292"/>
        <w:spacing w:after="0" w:line="282" w:lineRule="auto"/>
        <w:tabs>
          <w:tab w:leader="none" w:pos="1933" w:val="left"/>
        </w:tabs>
        <w:numPr>
          <w:ilvl w:val="1"/>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required by U.S. GAAP, make any material change in its accounting principles, methods or practices or write down the value of its assets;</w:t>
      </w:r>
    </w:p>
    <w:p>
      <w:pPr>
        <w:spacing w:after="0" w:line="32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45085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74" w:name="page75"/>
    <w:bookmarkEnd w:id="74"/>
    <w:p>
      <w:pPr>
        <w:ind w:left="2580" w:hanging="628"/>
        <w:spacing w:after="0"/>
        <w:tabs>
          <w:tab w:leader="none" w:pos="2580" w:val="left"/>
        </w:tabs>
        <w:numPr>
          <w:ilvl w:val="1"/>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change its principal place of business or jurisdiction of organization;</w:t>
      </w:r>
    </w:p>
    <w:p>
      <w:pPr>
        <w:spacing w:after="0" w:line="225" w:lineRule="exact"/>
        <w:rPr>
          <w:rFonts w:ascii="Times New Roman" w:cs="Times New Roman" w:eastAsia="Times New Roman" w:hAnsi="Times New Roman"/>
          <w:sz w:val="18"/>
          <w:szCs w:val="18"/>
          <w:color w:val="010000"/>
        </w:rPr>
      </w:pPr>
    </w:p>
    <w:p>
      <w:pPr>
        <w:jc w:val="both"/>
        <w:ind w:left="660" w:firstLine="1292"/>
        <w:spacing w:after="0" w:line="261" w:lineRule="auto"/>
        <w:tabs>
          <w:tab w:leader="none" w:pos="2644" w:val="left"/>
        </w:tabs>
        <w:numPr>
          <w:ilvl w:val="1"/>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issue, redeem or repurchase any capital stock, membership interests or other securities, including, for the avoidance of doubt, the issuance of any shares of Series D-1 Preferred Stock or Series D-2 Preferred Stock, or issue any securities exchangeable for or convertible into any shares of its capital stock or other securities, other than any redemption of Parent Ordinary Shares held by its public stockholders, or as otherwise contemplated herein or in any Additional Agreement;</w:t>
      </w:r>
    </w:p>
    <w:p>
      <w:pPr>
        <w:spacing w:after="0" w:line="179" w:lineRule="exact"/>
        <w:rPr>
          <w:rFonts w:ascii="Times New Roman" w:cs="Times New Roman" w:eastAsia="Times New Roman" w:hAnsi="Times New Roman"/>
          <w:sz w:val="18"/>
          <w:szCs w:val="18"/>
          <w:color w:val="010000"/>
        </w:rPr>
      </w:pPr>
    </w:p>
    <w:p>
      <w:pPr>
        <w:jc w:val="both"/>
        <w:ind w:left="660" w:firstLine="1292"/>
        <w:spacing w:after="0" w:line="266" w:lineRule="auto"/>
        <w:tabs>
          <w:tab w:leader="none" w:pos="2620" w:val="left"/>
        </w:tabs>
        <w:numPr>
          <w:ilvl w:val="1"/>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make, change or revoke any material Tax election; (B) change any method of accounting; (C) settle or compromise any material claim, notice, audit report or assessment in respect of Taxes of the Company Group; (D) enter into any Tax allocation, Tax sharing, Tax indemnity or closing agreement relating to any Taxes of the Company Group;</w:t>
      </w:r>
    </w:p>
    <w:p>
      <w:pPr>
        <w:spacing w:after="0" w:line="175" w:lineRule="exact"/>
        <w:rPr>
          <w:rFonts w:ascii="Times New Roman" w:cs="Times New Roman" w:eastAsia="Times New Roman" w:hAnsi="Times New Roman"/>
          <w:sz w:val="18"/>
          <w:szCs w:val="18"/>
          <w:color w:val="010000"/>
        </w:rPr>
      </w:pPr>
    </w:p>
    <w:p>
      <w:pPr>
        <w:ind w:left="660" w:firstLine="1292"/>
        <w:spacing w:after="0" w:line="282" w:lineRule="auto"/>
        <w:tabs>
          <w:tab w:leader="none" w:pos="2616" w:val="left"/>
        </w:tabs>
        <w:numPr>
          <w:ilvl w:val="1"/>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enter into any transaction with or distribute or advance any material assets or property to any of its Affiliates, other than the payment of salary and benefits in the ordinary course;</w:t>
      </w:r>
    </w:p>
    <w:p>
      <w:pPr>
        <w:spacing w:after="0" w:line="161" w:lineRule="exact"/>
        <w:rPr>
          <w:rFonts w:ascii="Times New Roman" w:cs="Times New Roman" w:eastAsia="Times New Roman" w:hAnsi="Times New Roman"/>
          <w:sz w:val="18"/>
          <w:szCs w:val="18"/>
          <w:color w:val="010000"/>
        </w:rPr>
      </w:pPr>
    </w:p>
    <w:p>
      <w:pPr>
        <w:jc w:val="both"/>
        <w:ind w:left="660" w:firstLine="1292"/>
        <w:spacing w:after="0" w:line="253" w:lineRule="auto"/>
        <w:tabs>
          <w:tab w:leader="none" w:pos="2769" w:val="left"/>
        </w:tabs>
        <w:numPr>
          <w:ilvl w:val="1"/>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solely in the case of the Company, other than as required by a Plan, (A) increase or change the compensation or benefits of any employee or service provider of the Company Group other than in the ordinary course of business consistent with past practice, (B) accelerate the vesting or payment of any compensation or benefits of any employee or service provider of the Company Group, (C) enter into, amend or terminate any Plan (or any plan, program, agreement or arrangement that would be a Plan if in effect on the date hereof) or grant, amend or terminate any awards thereunder (provided that the Company may grant additional Company Options provided that such Company Options have an exercise price per share of Company Common Stock no less than $4.65 and the aggregate amount of shares of Company Common Stock covered by Company Options issued between January 20, 2022 and immediately prior to Closing shall not exceed a number of shares equal to 17.5% of the Domesticated Parent Common Shares to be issued and outstanding immediately after the Closing), (D) fund any payments or benefits that are payable or to be provided under any Plan, (E) make any loan to any present or former employee or other individual service provider of the Company Group, other than advancement of expenses in the ordinary course of business consistent with past practices, or (F) enter into, amend or terminate any collective bargaining agreement or other agreement with a labor union or labor organization;</w:t>
      </w:r>
    </w:p>
    <w:p>
      <w:pPr>
        <w:spacing w:after="0" w:line="191" w:lineRule="exact"/>
        <w:rPr>
          <w:rFonts w:ascii="Times New Roman" w:cs="Times New Roman" w:eastAsia="Times New Roman" w:hAnsi="Times New Roman"/>
          <w:sz w:val="18"/>
          <w:szCs w:val="18"/>
          <w:color w:val="010000"/>
        </w:rPr>
      </w:pPr>
    </w:p>
    <w:p>
      <w:pPr>
        <w:ind w:firstLine="1952"/>
        <w:spacing w:after="0" w:line="282" w:lineRule="auto"/>
        <w:tabs>
          <w:tab w:leader="none" w:pos="2641" w:val="left"/>
        </w:tabs>
        <w:numPr>
          <w:ilvl w:val="1"/>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enter into any new Contract with any broker, finder, investment banker or other Person under which such Person is or will be entitled to any brokerage fee, finders’ fee or other commission in connection with the transactions contemplated by this Agreement; or</w:t>
      </w:r>
    </w:p>
    <w:p>
      <w:pPr>
        <w:spacing w:after="0" w:line="161" w:lineRule="exact"/>
        <w:rPr>
          <w:rFonts w:ascii="Times New Roman" w:cs="Times New Roman" w:eastAsia="Times New Roman" w:hAnsi="Times New Roman"/>
          <w:sz w:val="18"/>
          <w:szCs w:val="18"/>
          <w:color w:val="010000"/>
        </w:rPr>
      </w:pPr>
    </w:p>
    <w:p>
      <w:pPr>
        <w:ind w:left="2620" w:hanging="668"/>
        <w:spacing w:after="0"/>
        <w:tabs>
          <w:tab w:leader="none" w:pos="2620" w:val="left"/>
        </w:tabs>
        <w:numPr>
          <w:ilvl w:val="1"/>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 or commit to do any of the foregoing.</w:t>
      </w:r>
    </w:p>
    <w:p>
      <w:pPr>
        <w:spacing w:after="0" w:line="225"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8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shall (i) take or agree to take any action that would be reasonably likely to cause any representation or warranty of such party to be inaccurate or misleading in any respect at, or as of any time prior to, the Closing Date or (ii) omit to take, or agree to omit to take, any action necessary to prevent any such representation or warranty from being inaccurate or misleading in any respect at any such time.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and Parent and their respective Subsidiaries shall be permitted to take any and all actions required to comply in all material respects with the quarantine, “shelter in place,” “stay at home,” workforce reduction, social distancing, shut down, closure, sequester or any other Law, directive, guidelines or recommendations by any governmental authority (including the Centers for Disease Control and Prevention and the World Health Organization) in each case in connection with, related to or in response to COVID-19, including the CARES Act or any changes thereto.</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84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(other than in connection with the transactions contemplated hereby), neither the Company, on the one hand, nor Parent, on the other hand, shall, and such Persons shall cause each of their respective Representatives not to, without the prior written consent of the other party (which consent may be withheld in the sole and absolute discretion of the party asked to provide consent), directly or indirectly, (i) solicit, initiate, engage, participate in or knowingly encourage negotiations with any Person concerning any Alternative Transaction, (ii) take any other action intended or designed to facilitate the efforts of any Person relating to a possible Alternative Transaction or (iii) approve, recommend or enter into any Alternative Transaction or any contract or agreement related to any Alternative Transaction. Immediately following the execution of this Agreement, the Company, on the one hand, and Parent, on the other hand, shall, and shall cause each of their Representatives, to terminate any existing discussion or negotiations with any Persons other than the Company or Parent, as applicable, concerning any Alternative Transaction. Each of the Company and Parent shall be responsible for any acts or omissions of any of its respective Representatives that, if they were the acts or omissions of the Company or Parent, as applicable, would be deemed a breach of such party’s obligations hereunder (it being understood that such responsibility shall be in addition to and not by way of limitation of any right or remedy the Company or Parent, as applicable, may have against such Representatives with respect to any such acts or omissions). For purposes of this Agreement, the term “</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means any of the following transactions involving the Company or Parent or their respective Subsidiaries (other than the transactions contemplated by this Agreement or the Additional Agreements): (A) any merger, consolidation, share exchange, business combination or other similar transaction, (B) any sale, lease, exchange, transfer or other disposition of all or a material portion of the assets of such Person or any capital stock or other equity interests of such party or its Subsidiaries in a single transaction or series of transactions or (C) with respect to Parent, any other Business Combination.</w:t>
      </w:r>
    </w:p>
    <w:p>
      <w:pPr>
        <w:spacing w:after="0" w:line="19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is an unsolicited proposal for, or an indication of interest in entering into, an Alternative Transaction, communicated in writing to the Company or Parent or any of their respective Representatives (each, an “</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such party shall as promptly as practicable (and in any event within one (1) Business Day after receipt thereof) advise the other parties to this Agreement, orally and in writing, of such Alternative Proposal and the material terms and conditions thereof (including any changes thereto) and the identity of the Person making any such Alternative Proposal. The Company and Parent shall keep each other informed on a reasonably current basis of material developments with respect to any such Alternative Proposal. As used herein with respect to Parent, the term “Alternative Proposal” shall not include the receipt by Parent of any unsolicited communications (including the receipt of draft non-disclosure agreements) in the ordinary course of business inquiring as to Parent’s interest in a potential target for a business combination.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During the Interim Period, the Company and Parent shall each use its commercially reasonable efforts upon reasonable advance notice to (a) continue to give the other party, its legal counsel and its other Representatives full access to the offices, properties and Books and Records, (b) furnish to the other party, its legal counsel and its other Representatives such information relating to the business of the Company Group and Parent as such Persons may request and (c) cause its employees, legal counsel, accountants and other Representatives to cooperate with the other party in its investigation of the Business (in the case of the Company) or the business of Parent (in the case of Parent); provided that no investigation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any investigation made prior to the date hereof) shall affect any representation or warranty given by the Company or Parent; and provided, further, that any investigation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Company Group. Notwithstanding anything to the contrary in this Agreement, no party shall be required to provide the access described above or disclose any information if doing so is reasonably likely to (i) jeopardize protections afforded under attorney-client privilege, work product doctrine or similar privilege rights, (ii) violate any contract to which it is a party or to which it is subject, duty of confidentiality or applicable Law,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non-disclosing party must advise the other parties that it is withholding such access and/or information and (to the extent reasonably practicable) and provide a description of the access not granted.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u w:val="single" w:color="auto"/>
          <w:color w:val="auto"/>
        </w:rPr>
        <w:t>Notices of Certain Events</w:t>
      </w:r>
      <w:r>
        <w:rPr>
          <w:rFonts w:ascii="Times New Roman" w:cs="Times New Roman" w:eastAsia="Times New Roman" w:hAnsi="Times New Roman"/>
          <w:sz w:val="17"/>
          <w:szCs w:val="17"/>
          <w:color w:val="auto"/>
        </w:rPr>
        <w:t>. During the Interim Period, each of Parent and the Company shall promptly notify the other party of:</w:t>
      </w:r>
    </w:p>
    <w:p>
      <w:pPr>
        <w:spacing w:after="0" w:line="225" w:lineRule="exact"/>
        <w:rPr>
          <w:sz w:val="20"/>
          <w:szCs w:val="20"/>
          <w:color w:val="auto"/>
        </w:rPr>
      </w:pPr>
    </w:p>
    <w:p>
      <w:pPr>
        <w:jc w:val="both"/>
        <w:ind w:firstLine="1304"/>
        <w:spacing w:after="0" w:line="261" w:lineRule="auto"/>
        <w:tabs>
          <w:tab w:leader="none" w:pos="201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to which it is a party commenced, relating to or involving or otherwise affecting either party or any of their stockholders or their equity, assets or business or that relate to the consummation of the transactions contemplated by this Agreement or the Additional Agreements, in each case, that if adversely determined would prevent or materially impair such party’s ability to consummate the Merger and the other transactions contemplated by this Agreement;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84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fact or circumstance which constitutes or results, or would reasonably be expected to constitute or result, in a Material Adverse Effect;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1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inaccuracy of any representation or warranty of such party contained in this Agreement, or any failure of such party to comply with or satisfy any covenant or agreement to be complied with or satisfied by it hereunder, in each case, that would reasonably be expected to cause any of the conditions set forth in ARTICLE X not to be satisfied.</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u w:val="single" w:color="auto"/>
          <w:color w:val="auto"/>
        </w:rPr>
        <w:t>Cooperation with Form S-4/Proxy Statement; Other Filings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81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promptly provide to Parent such information concerning the Company and the Company Securityholders as is either required by the federal securities Laws or reasonably requested by Parent for inclusion in the Offer Documents. Promptly after the receipt by Parent from the Company of all such information (including such information required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hereof), Parent and the Company shall prepare, and Parent shall file with the SEC, proxy materials for the purpose of soliciting proxies from holders of Parent Ordinary Shares sufficient to obtain Parent Shareholder Approval at a general meeting of Parent to be called and held for such purpose (the “</w:t>
      </w:r>
      <w:r>
        <w:rPr>
          <w:rFonts w:ascii="Times New Roman" w:cs="Times New Roman" w:eastAsia="Times New Roman" w:hAnsi="Times New Roman"/>
          <w:sz w:val="18"/>
          <w:szCs w:val="18"/>
          <w:u w:val="single" w:color="auto"/>
          <w:color w:val="auto"/>
        </w:rPr>
        <w:t>Parent Shareholder Meeting</w:t>
      </w:r>
      <w:r>
        <w:rPr>
          <w:rFonts w:ascii="Times New Roman" w:cs="Times New Roman" w:eastAsia="Times New Roman" w:hAnsi="Times New Roman"/>
          <w:sz w:val="18"/>
          <w:szCs w:val="18"/>
          <w:color w:val="auto"/>
        </w:rPr>
        <w:t>”). Such proxy materials shall be in the form of a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which shall be included in a Registration Statement on Form S-4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filed by Parent with the SEC, pursuant to which (i) the Domesticated Parent Common Shares and the Domesticated Parent Warrants to be issued upon the conversion of the issued and outstanding Parent Ordinary Shares and Parent Warrants, respectively, pursuant to the Domestication and (ii) the other Domesticated Parent Common Shares and Domesticated Parent Warrants to be issued under this Agreement, in each case, shall be registered. The Company and Parent Parties shall use their reasonable best efforts to promptly respond to any SEC comments on the Form S-4. The Proxy Statement, the Form S-4 and the documents included or referred to therein, together with any supplements, amendments or exhibits thereto, are referred to herein as the “</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1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 shall provide the Company and its counsel a reasonable opportunity to review and comment in writing on the Proxy Statement and Form S-4 and any exhibits, amendments or supplements thereto (or other related documents); (ii) shall consider any such comments reasonably and in good faith; and (iii) shall not file the Proxy Statement and Form S-4 or any exhibit, amendment or supplement thereto without giving reasonable and good faith consideration to the comments of the Company. As promptly as practicable after receipt thereof, the Parent Parties shall provide to the Company and its counsel notice and a copy of all correspondence (or, to the extent such correspondence is oral, a summary thereof), including any comments from the SEC or its staff, between a Parent Party or any of its Representatives, on the one hand, and the SEC or its staff or other government officials, on the other hand, with respect to the Proxy Statement and the Form S-4, and, in each case, shall consult with the Company and its counsel concerning any such correspondence. No Parent Party shall file any response letters to any comments from the SEC before consulting reasonably and in good faith with the Company. The Parent Parties will advise the Company, promptly after it receives notice thereof, of the time when the Proxy Statement or the Form S-4 or any amendment or supplement thereto has been filed with the SEC and the time when the Form S-4 declared effective or any stop order relating to the Form S-4 is issued.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both"/>
        <w:ind w:firstLine="1304"/>
        <w:spacing w:after="0" w:line="258" w:lineRule="auto"/>
        <w:tabs>
          <w:tab w:leader="none" w:pos="190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on which the Form S-4 is declared effective by the SEC (the “</w:t>
      </w:r>
      <w:r>
        <w:rPr>
          <w:rFonts w:ascii="Times New Roman" w:cs="Times New Roman" w:eastAsia="Times New Roman" w:hAnsi="Times New Roman"/>
          <w:sz w:val="18"/>
          <w:szCs w:val="18"/>
          <w:u w:val="single" w:color="auto"/>
          <w:color w:val="auto"/>
        </w:rPr>
        <w:t>S-4 Effective Date</w:t>
      </w:r>
      <w:r>
        <w:rPr>
          <w:rFonts w:ascii="Times New Roman" w:cs="Times New Roman" w:eastAsia="Times New Roman" w:hAnsi="Times New Roman"/>
          <w:sz w:val="18"/>
          <w:szCs w:val="18"/>
          <w:color w:val="auto"/>
        </w:rPr>
        <w:t>”), Parent shall distribute the Proxy Statement to the holders of Parent Ordinary Shares and, pursuant thereto, shall call the Parent Shareholder Meeting in accordance with its organizational documents and the laws of the Cayman Islands and, subject to the other provisions of this Agreement, solicit proxies from such holders to vote in favor of the adoption of this Agreement and the approval of the transactions contemplated hereby and the other matters presented to the Parent Shareholders for approval or adoption at the Parent Shareholder Meeting.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8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comply with all applicable provisions of and rules under the Securities Act and Exchange Act and all applicable Laws of the State of Delaware and the Cayman Islands and the applicable rules of Nasdaq, in the preparation, filing and distribution of the Form S-4 and the Proxy Statement (or any amendment or supplement thereto), as applicable, the solicitation of proxies under the Proxy Statement and the calling and holding of the Parent Shareholder Meeting. Without limiting the foregoing, Parent shall ensure that each of the Form S-4, as of the S-4 Effective Date, and the Proxy Statement, as of the date on which it is first distributed to Parent Shareholders, and as of the date of the Parent Shareholder Meeting, does not contain any untrue statement of a material fact or omit to state a material fact necessary in order to make the statements made,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Parent shall not be responsible for the accuracy or completeness of any information relating to the Company (or any other information) that is furnished by the Company expressly for inclusion in the Proxy Statement). The Company represents and warrants that the information relating to the Company supplied by the Company for inclusion in the Proxy Statement or the Form S-4, as applicable, will not as of the S-4 Effective Date and the date on which the Proxy Statement (or any amendment or supplement thereto) is first distributed to Parent Shareholders, or at the time of the Parent Shareholder Meeting, contain any untrue statement of a material fact or omit to state a material fact necessary in order to make the statements made in light of the circumstances under which they were made not misleading. If, at any time prior to the Effective Time, a change in the information relating to the Company or any other information furnished by Parent, Merger Sub or the Company for inclusion in the Proxy Statement, which would make the preceding sentence incorrect, should be discovered by a Parent Party or the Company, as applicable, such party shall promptly notify the other parties of such change or discovery and an appropriate amendment or supplement describing such information shall be promptly filed with the SEC and, to the extent required by Law, disseminated to Parent Shareholders. In connection therewith, the Parent Parties and the Company shall instruct their respective employees, counsel, financial advisors, auditors and other authorized representatives to reasonably cooperate with Parent as relevant if required to achieve the foregoing.</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8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Parent’s amended and restated memorandum and articles of association and applicable securities laws, rules and regulations, including the Cayman Islands Companies Act, the DGCL and rules and regulations of Nasdaq, in the Proxy Statement, Parent shall seek from the holders of Parent Ordinary Shares the approval the following proposals: (i) the adoption and approval of this Agreement and the transactions contemplated hereby, including the Domestication; (ii) adoption and approval of the certificate of incorporation of Parent,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including the change of the name of Parent to “Orchestra BioMed Holdings, Inc.” (the “</w:t>
      </w:r>
      <w:r>
        <w:rPr>
          <w:rFonts w:ascii="Times New Roman" w:cs="Times New Roman" w:eastAsia="Times New Roman" w:hAnsi="Times New Roman"/>
          <w:sz w:val="18"/>
          <w:szCs w:val="18"/>
          <w:u w:val="single" w:color="auto"/>
          <w:color w:val="auto"/>
        </w:rPr>
        <w:t>Parent Charter</w:t>
      </w:r>
      <w:r>
        <w:rPr>
          <w:rFonts w:ascii="Times New Roman" w:cs="Times New Roman" w:eastAsia="Times New Roman" w:hAnsi="Times New Roman"/>
          <w:sz w:val="18"/>
          <w:szCs w:val="18"/>
          <w:color w:val="auto"/>
        </w:rPr>
        <w:t>”) in connection with the Domestication;</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adoption and approval of the bylaws of Parent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Parent Bylaws</w:t>
      </w:r>
      <w:r>
        <w:rPr>
          <w:rFonts w:ascii="Times New Roman" w:cs="Times New Roman" w:eastAsia="Times New Roman" w:hAnsi="Times New Roman"/>
          <w:sz w:val="18"/>
          <w:szCs w:val="18"/>
          <w:color w:val="auto"/>
        </w:rPr>
        <w:t>”) in connection with the Domestication;</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32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Parent Equity Incentive Plan; (v) approval of the members of the Board of Directors of Parent immediately after the Closing; (vi) approval of the issuance of more than 20% of the issued and outstanding Domesticated Parent Common Shares to the Company Securityholders in connection with the Merger under applicable exchange listing rules; (vii) approval of a change in control under Nasdaq rules; (viii) approval to adjourn the Parent Shareholder Meeting, if necessary; and (ix) approval to obtain any and all other approvals necessary or advisable to effect the consummation of the Merger as reasonably determined by the Company and the Parent Parties (the proposals set forth in the forgoing clauses (i) through (ix) collectively, the “</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both"/>
        <w:ind w:firstLine="1304"/>
        <w:spacing w:after="0" w:line="253" w:lineRule="auto"/>
        <w:tabs>
          <w:tab w:leader="none" w:pos="18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with the assistance of the Company, shall use its reasonable best efforts to cause the Form S-4 and the Proxy Statement to “clear” comments from the SEC and the Form S-4 to become effective as promptly as reasonably practicable thereafter. As soon as practicable after the Proxy Statement is “cleared” by the SEC, Parent shall cause the Proxy Statement, together will all other Offer Documents, to be disseminated to holders of Parent Ordinary Shares. The Offer Documents shall provide the public Parent Shareholders with the opportunity to redeem all or a portion of their public Parent Ordinary Shares (the “</w:t>
      </w:r>
      <w:r>
        <w:rPr>
          <w:rFonts w:ascii="Times New Roman" w:cs="Times New Roman" w:eastAsia="Times New Roman" w:hAnsi="Times New Roman"/>
          <w:sz w:val="18"/>
          <w:szCs w:val="18"/>
          <w:u w:val="single" w:color="auto"/>
          <w:color w:val="auto"/>
        </w:rPr>
        <w:t>Parent Shareholder Redemption</w:t>
      </w:r>
      <w:r>
        <w:rPr>
          <w:rFonts w:ascii="Times New Roman" w:cs="Times New Roman" w:eastAsia="Times New Roman" w:hAnsi="Times New Roman"/>
          <w:sz w:val="18"/>
          <w:szCs w:val="18"/>
          <w:color w:val="auto"/>
        </w:rPr>
        <w:t>”), up to that number of Parent Ordinary Shares that would permit Parent to maintain consolidated net tangible assets of at least $5,000,001 either immediately prior to or upon the consummation of the Merger, at a price per share equal to the pro rata share of the funds in the Trust Account, all in accordance with and as required by Parent’s amended and restated memorandum and articles of association, the Trust Agreement, applicable Law and any applicable rules and regulations of the SEC. In accordance with Parent’s amended and restated memorandum and articles of association, the proceeds held in the Trust Account will first be used for the redemption of Parent Ordinary Shares held by Parent’s public shareholders who have elected to redeem such shares.</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call and hold the Parent Shareholder Meeting as promptly as practicable or advisable after the S-4 Effective Date for the purpose of seeking the approval of each of the Parent Proposals, and Parent shall consult in good faith with the Company with respect to the date on which such meeting is to be held. Parent shall use reasonable best efforts to solicit from its shareholders proxies in favor of the approval and adoption of the Merger and this Agreement and the other Parent Proposals. Parent’s Board of Directors shall recommend that the Parent Shareholders vote in favor of the Parent Proposals.</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5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a substantial portion of the Proxy Statement/Form S-4 and other filings required to be made by Parent or Parent in connection with the transactions contemplated hereby shall include disclosure regarding the Company and its management, operations and financial condition. Accordingly, the Company agrees to as promptly as reasonably practical provide Parent with such information as shall be requested by Parent for inclusion in or attachment to the Proxy Statement/Form S-4 or such other filings, and that such information is accurate in all material respects and complies as to form in all material respects with the requirements of the Exchange Act and the rules and regulations promulgated thereunder. The Company understands that such information shall be included in the Proxy Statement/Form S-4 or responses to comments from the SEC or its staff in connection therewith. In connection with the preparation and filing of the Form S-4 and any amendments thereto, the Company Group shall reasonably cooperate with the Parent Parties and shall make their affiliates, directors, officers and appropriate senior employees reasonably available to each Parent Party, its counsel, auditors and other Representatives in connection with the drafting of such filings and mailings and responding in a timely manner to comments from the SEC.</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both"/>
        <w:ind w:firstLine="1304"/>
        <w:spacing w:after="0" w:line="261" w:lineRule="auto"/>
        <w:tabs>
          <w:tab w:leader="none" w:pos="182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else to the contrary in this Agreement or any Additional Agreements, the Parent Parties may make any public filing with respect to the Merger to the extent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making any filing that includes information regarding the Company Group, Parent shall provide a copy of the filing to the Company and permit the Company to make revisions to protect confidential or proprietary information of the Company Group.</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Parent covenants that it shall cause the funds in the Trust Account to be disbursed in accordance with the Trust Agreement, including for the payment of (a) all amounts payable to public holders of Parent Ordinary Shares (the “</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 (b) deferred underwriting commissions and the expenses of Parent and the Company Group to the third parties to which they are owed, and (c) the remaining monies in the Trust Account to Parent or the Surviving Corporation after the Closing.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Obligations of Parent and Merger Sub</w:t>
      </w:r>
      <w:r>
        <w:rPr>
          <w:rFonts w:ascii="Times New Roman" w:cs="Times New Roman" w:eastAsia="Times New Roman" w:hAnsi="Times New Roman"/>
          <w:sz w:val="18"/>
          <w:szCs w:val="18"/>
          <w:color w:val="auto"/>
        </w:rPr>
        <w:t>. During the Interim Period, Parent shall take all action necessary to cause Merger Sub to perform its obligations under this Agreement and to consummate the transactions contemplated under this Agreement, upon the terms and subject to the conditions set forth in this Agreement.</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“Blank-Check Company”</w:t>
      </w:r>
      <w:r>
        <w:rPr>
          <w:rFonts w:ascii="Times New Roman" w:cs="Times New Roman" w:eastAsia="Times New Roman" w:hAnsi="Times New Roman"/>
          <w:sz w:val="18"/>
          <w:szCs w:val="18"/>
          <w:color w:val="auto"/>
        </w:rPr>
        <w:t xml:space="preserve">. In addition to, and not in limitation of, the restrictions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from the date hereof through the Effective Time, Parent shall remain a “blank check company” as defined under the Securities Act, shall not conduct any business operations other than in connection with this Agreement and ordinary course operations to maintain its status as a Nasdaq-listed SPAC pending the completion of the transactions contemplated hereby.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Parent Closing Statement</w:t>
      </w:r>
      <w:r>
        <w:rPr>
          <w:rFonts w:ascii="Times New Roman" w:cs="Times New Roman" w:eastAsia="Times New Roman" w:hAnsi="Times New Roman"/>
          <w:sz w:val="18"/>
          <w:szCs w:val="18"/>
          <w:color w:val="auto"/>
        </w:rPr>
        <w:t>. On the date that is five (5) Business Days prior to the Closing Date, Parent shall prepare and deliver to the Company a written statement (the “</w:t>
      </w:r>
      <w:r>
        <w:rPr>
          <w:rFonts w:ascii="Times New Roman" w:cs="Times New Roman" w:eastAsia="Times New Roman" w:hAnsi="Times New Roman"/>
          <w:sz w:val="18"/>
          <w:szCs w:val="18"/>
          <w:u w:val="single" w:color="auto"/>
          <w:color w:val="auto"/>
        </w:rPr>
        <w:t>Parent Closing Statement</w:t>
      </w:r>
      <w:r>
        <w:rPr>
          <w:rFonts w:ascii="Times New Roman" w:cs="Times New Roman" w:eastAsia="Times New Roman" w:hAnsi="Times New Roman"/>
          <w:sz w:val="18"/>
          <w:szCs w:val="18"/>
          <w:color w:val="auto"/>
        </w:rPr>
        <w:t>”) setting forth its good faith estimate and calculation (to the extent then known) of: (a) the aggregate amount of cash in the Trust Account (prior to giving effect to the Parent Shareholder Redemption), the aggregate amount of cash in Parent’s working capital account, and the portion of the Investor Commitment received and to be received by Parent prior to the Closing; (b) the aggregate amount of all payments required to be made in connection with the Parent Shareholder Redemption; (c) all, as of the Closing, (i) unpaid fees and disbursements (whether accrued or anticipated) of Parent and Merger Sub for outside counsel and fees and expenses (whether accrued or anticipated) of Parent and Merger Sub for any other agents, advisors, consultants, experts and financial advisors employed by or on behalf of Parent or the Sponsor in connection with Parent’s initial public offering (including any deferred underwriter fees) or the transactions contemplated this Agreement, including preparation, negotiation and execution of this Agreement and the consummation of the transactions contemplated by this Agreement (together with written invoices and wire transfer instructions for the payment thereof) (“</w:t>
      </w:r>
      <w:r>
        <w:rPr>
          <w:rFonts w:ascii="Times New Roman" w:cs="Times New Roman" w:eastAsia="Times New Roman" w:hAnsi="Times New Roman"/>
          <w:sz w:val="18"/>
          <w:szCs w:val="18"/>
          <w:u w:val="single" w:color="auto"/>
          <w:color w:val="auto"/>
        </w:rPr>
        <w:t>Outstanding Parent Expenses</w:t>
      </w:r>
      <w:r>
        <w:rPr>
          <w:rFonts w:ascii="Times New Roman" w:cs="Times New Roman" w:eastAsia="Times New Roman" w:hAnsi="Times New Roman"/>
          <w:sz w:val="18"/>
          <w:szCs w:val="18"/>
          <w:color w:val="auto"/>
        </w:rPr>
        <w:t>”) and (ii) the Parent Closing Indebtedness; and (d) the amount of Parent Closing Cash. The Parent Closing Statement and each component thereof shall be prepared and calculated in accordance with the definitions contained in this Agreement. From and after delivery of the Parent Closing Statement and through the Closing Date, Parent shall promptly provide to the Company any changes to the Parent Closing Statement (including any component thereof).</w:t>
      </w:r>
    </w:p>
    <w:p>
      <w:pPr>
        <w:spacing w:after="0" w:line="18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u w:val="single" w:color="auto"/>
          <w:color w:val="auto"/>
        </w:rPr>
        <w:t>Extension Proxy Statement and Proposal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8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does not receive comments from the SEC with respect to the preliminary Extension Proxy Statement, then Parent shall file with the SEC the definitive Extension Proxy Statement, and shall use its reasonable best efforts to cause distribution of the definitive Extension Proxy Statement to the holders of Parent Ordinary Shares, as soon as reasonably practicable after the tenth calendar day immediately following the date of filing of the preliminary Extension Proxy Statement with the SEC, and if Parent does receive comments from the SEC with respect to the preliminary Extension Proxy Statement, Parent shall file with the SEC the definitive Proxy Statement, and shall use its reasonable best efforts to cause the distribution of the definitive Proxy Statement to the holders of Parent Ordinary Shares, as soon as reasonably practicable following clearance by the SEC with respect to such comments. Pursuant to such distribution of the Extension Proxy Statement, Parent shall call the Extension Meeting in accordance with its organizational documents and the laws of the Cayman Islands and, solicit proxies from such holders to vote in favor of the approval of the Extension Proposal.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jc w:val="both"/>
        <w:ind w:firstLine="1304"/>
        <w:spacing w:after="0" w:line="255" w:lineRule="auto"/>
        <w:tabs>
          <w:tab w:leader="none" w:pos="189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requisite vote of Parent Shareholders in accordance with Parent’s amended and restated memorandum and articles of association and applicable Law to approve the Extension Proposal (the “</w:t>
      </w:r>
      <w:r>
        <w:rPr>
          <w:rFonts w:ascii="Times New Roman" w:cs="Times New Roman" w:eastAsia="Times New Roman" w:hAnsi="Times New Roman"/>
          <w:sz w:val="18"/>
          <w:szCs w:val="18"/>
          <w:u w:val="single" w:color="auto"/>
          <w:color w:val="auto"/>
        </w:rPr>
        <w:t>Requisite Extension Approval</w:t>
      </w:r>
      <w:r>
        <w:rPr>
          <w:rFonts w:ascii="Times New Roman" w:cs="Times New Roman" w:eastAsia="Times New Roman" w:hAnsi="Times New Roman"/>
          <w:sz w:val="18"/>
          <w:szCs w:val="18"/>
          <w:color w:val="auto"/>
        </w:rPr>
        <w:t>”) is obtained, Parent shall (i) as soon as reasonably practicable, amend its amended and restated memorandum and articles of association and take all other actions necessary to reflect the terms of the Extension Proposal (including extension of the Business Combination End Date to November 6, 2022), including making all applicable filings and executing and delivering all applicable documentation; and (ii) until the valid termination of this Agreement in accordance with its terms, take all necessary actions to effectuate End Date Extension Elections as necessary to ensure that the Business Combination End Date does not occur prior to the Outside Closing Date.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Reporting; Compliance with Laws; No Insider Trading</w:t>
      </w:r>
      <w:r>
        <w:rPr>
          <w:rFonts w:ascii="Times New Roman" w:cs="Times New Roman" w:eastAsia="Times New Roman" w:hAnsi="Times New Roman"/>
          <w:sz w:val="18"/>
          <w:szCs w:val="18"/>
          <w:color w:val="auto"/>
        </w:rPr>
        <w:t>. During the Interim Period, the Company shall not, and it shall direct its Representatives to not, directly or indirectly, (a) purchase or sell (including entering into any hedge transaction with respect to) any Parent Ordinary Shares or Parent Warrants, except in compliance with all applicable securities Laws, including Regulation M under the Exchange Act; (b) use or disclose or permit any other Person to use or disclose any information that Parent or its Affiliates has made or makes available to the Company and its Representatives in violation of the Exchange Act, the Securities Act or any other applicable securities Law; or (c) disclose to any third party any non-public information about the Company, Parent, the Merger or the other transactions contemplated hereby or by any Additional Agreement.</w:t>
      </w:r>
    </w:p>
    <w:p>
      <w:pPr>
        <w:spacing w:after="0" w:line="18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u w:val="single" w:color="auto"/>
          <w:color w:val="auto"/>
        </w:rPr>
        <w:t>Company’s Stockholders Approval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80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S-4 Effective Date and in any event within five (5) Business Days following the S-4 Effective Date (the “</w:t>
      </w:r>
      <w:r>
        <w:rPr>
          <w:rFonts w:ascii="Times New Roman" w:cs="Times New Roman" w:eastAsia="Times New Roman" w:hAnsi="Times New Roman"/>
          <w:sz w:val="18"/>
          <w:szCs w:val="18"/>
          <w:u w:val="single" w:color="auto"/>
          <w:color w:val="auto"/>
        </w:rPr>
        <w:t>Company Stockholder Written Consent Deadline</w:t>
      </w:r>
      <w:r>
        <w:rPr>
          <w:rFonts w:ascii="Times New Roman" w:cs="Times New Roman" w:eastAsia="Times New Roman" w:hAnsi="Times New Roman"/>
          <w:sz w:val="18"/>
          <w:szCs w:val="18"/>
          <w:color w:val="auto"/>
        </w:rPr>
        <w:t>”), the Company shall solicit and use its reasonable best efforts to obtain the Company Stockholder Approval by written consent (in form and substance reasonably satisfactory to Parent) that is duly executed by the Company Stockholders that hold at least the requisite number and class of issued and outstanding shares of Company Capital Stock required to obtain the Company Stockholder Approval (the “</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 xml:space="preserve">”). In connection with such solicitation, the Company shall deliver to each Company Stockholder an Earnout Election Agreement in substantially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Earnout Election Agreement</w:t>
      </w:r>
      <w:r>
        <w:rPr>
          <w:rFonts w:ascii="Times New Roman" w:cs="Times New Roman" w:eastAsia="Times New Roman" w:hAnsi="Times New Roman"/>
          <w:sz w:val="18"/>
          <w:szCs w:val="18"/>
          <w:color w:val="auto"/>
        </w:rPr>
        <w:t xml:space="preserve">”) pursuant to which, among other things, each such Company Stockholder may elect to possibly receive a portion of the Earnout Shares, in each case, subject to the terms and condition of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hereof and the Earnout Election Agreement.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1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shall recommend that the Company Stockholders vote in favor of this Agreement, the transactions contemplated hereby and other related matters, and neither the Company’s Board of Directors, nor any committee thereof, shall withhold, withdraw, amend, modify, change or propose or resolve to withhold, withdraw, amend, modify or change, in each case in a manner adverse to the Parent Parties, the recommendation of the Company’s Board of Directors.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Additional Financial Information</w:t>
      </w:r>
      <w:r>
        <w:rPr>
          <w:rFonts w:ascii="Times New Roman" w:cs="Times New Roman" w:eastAsia="Times New Roman" w:hAnsi="Times New Roman"/>
          <w:sz w:val="18"/>
          <w:szCs w:val="18"/>
          <w:color w:val="auto"/>
        </w:rPr>
        <w:t>. Upon the filing of the Form S-4, the Company shall provide Parent with the Company’s audited financial statements for the twelve-month period ended December 31, 2021 consisting of the audited consolidated balance sheets as of such date, the audited consolidated income statements for the twelve-month period ended on such date, and the audited consolidated cash flow statements for the twelve-month period ended on such date. The Company’s consolidated interim financial information for each quarterly period after March 31, 2022, shall be delivered to Parent as promptly as possible following the end of such quarterly period, and in any event no later than forty-five (45) calendar days following the end of each quarterly period (the “</w:t>
      </w:r>
      <w:r>
        <w:rPr>
          <w:rFonts w:ascii="Times New Roman" w:cs="Times New Roman" w:eastAsia="Times New Roman" w:hAnsi="Times New Roman"/>
          <w:sz w:val="18"/>
          <w:szCs w:val="18"/>
          <w:u w:val="single" w:color="auto"/>
          <w:color w:val="auto"/>
        </w:rPr>
        <w:t>Required Financial Statements</w:t>
      </w:r>
      <w:r>
        <w:rPr>
          <w:rFonts w:ascii="Times New Roman" w:cs="Times New Roman" w:eastAsia="Times New Roman" w:hAnsi="Times New Roman"/>
          <w:sz w:val="18"/>
          <w:szCs w:val="18"/>
          <w:color w:val="auto"/>
        </w:rPr>
        <w:t xml:space="preserve">”). All of the financial statements to be delivered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shall be prepared under U.S. GAAP in accordance with requirements of the PCAOB for public companies. The Company will promptly provide Parent with additional Company financial information (including selected financial data, a management’s discussion and analysis and results of operations prepared in accordance with Item 303 of Regulation S-K of the Securities Exchange Act, and pro forma financial information or pro forma financial adjustments) reasonably requested by the Parent Parties or otherwise required for inclusion in the Proxy Statement and any other filings to be made by a Parent Party with the SEC. The Company shall also provide to Parent as promptly as practicable after the date hereof, a description of the business and any other information concerning the Company, its directors, officers, operations and such other matters, as may be reasonably necessary or advisable in connection with the preparation of the Proxy Statement and any other filings to be made by a Parent Party with the SEC.</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xml:space="preserve">. Prior to the Closing, the Company shall use commercially reasonable efforts to cause those persons set forth on </w:t>
      </w:r>
      <w:r>
        <w:rPr>
          <w:rFonts w:ascii="Times New Roman" w:cs="Times New Roman" w:eastAsia="Times New Roman" w:hAnsi="Times New Roman"/>
          <w:sz w:val="18"/>
          <w:szCs w:val="18"/>
          <w:u w:val="single" w:color="auto"/>
          <w:color w:val="auto"/>
        </w:rPr>
        <w:t>Schedule 8.5</w:t>
      </w:r>
      <w:r>
        <w:rPr>
          <w:rFonts w:ascii="Times New Roman" w:cs="Times New Roman" w:eastAsia="Times New Roman" w:hAnsi="Times New Roman"/>
          <w:sz w:val="18"/>
          <w:szCs w:val="18"/>
          <w:color w:val="auto"/>
        </w:rPr>
        <w:t xml:space="preserve"> to enter into Indemnification Agreements with Parent to be effective as of the Closing (each, an “</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280G Approval</w:t>
      </w:r>
      <w:r>
        <w:rPr>
          <w:rFonts w:ascii="Times New Roman" w:cs="Times New Roman" w:eastAsia="Times New Roman" w:hAnsi="Times New Roman"/>
          <w:sz w:val="18"/>
          <w:szCs w:val="18"/>
          <w:color w:val="auto"/>
        </w:rPr>
        <w:t>. To the extent that any “disqualified individual” (within the meaning of Section 280G(c) of the Code and the regulations thereunder) has the right to receive any payments or benefits that could be deemed to constitute “parachute payments” (within the meaning of Section 280G(b)(2)(A) of the Code and the regulations thereunder), the Company will: (a) no later than ten (10) days prior to the Closing Date, use commercially reasonable efforts to solicit and obtain from each such “disqualified individual” a waiver of such disqualified individual’s rights to some or all of such payments or benefits (the “</w:t>
      </w:r>
      <w:r>
        <w:rPr>
          <w:rFonts w:ascii="Times New Roman" w:cs="Times New Roman" w:eastAsia="Times New Roman" w:hAnsi="Times New Roman"/>
          <w:sz w:val="18"/>
          <w:szCs w:val="18"/>
          <w:u w:val="single" w:color="auto"/>
          <w:color w:val="auto"/>
        </w:rPr>
        <w:t>Waived 280G Benefits</w:t>
      </w:r>
      <w:r>
        <w:rPr>
          <w:rFonts w:ascii="Times New Roman" w:cs="Times New Roman" w:eastAsia="Times New Roman" w:hAnsi="Times New Roman"/>
          <w:sz w:val="18"/>
          <w:szCs w:val="18"/>
          <w:color w:val="auto"/>
        </w:rPr>
        <w:t xml:space="preserve">”) so that any remaining payments and/or benefits shall not be deemed to be “excess parachute payments” (within the meaning of Section 280G of the Code and the regulations thereunder); and (b) no later than three (3) days prior to the Closing Date, with respect to each individual who agrees to the waiver described in clause (a) above, submit to a vote of holders of the equity interests of the Company entitled to vote on such matters, in the manner required under Section 280G(b)(5) of the Code and the regulations promulgated thereunder, along with adequate disclosure intended to satisfy such requirements (including Q&amp;A 7 of Section 1.280G-1 of such regulations), the right of any such “disqualified individual” to receive the Waived 280G Benefits. Prior to, and in no event later than four (4) days prior to soliciting such waivers and approval, the Company shall provide drafts of such waivers and approval materials to Parent for its reasonable review and comment, and the Company shall consider in good faith any changes reasonably requested by Parent. No later than seven (7) days prior to soliciting the waivers, the Company shall provide Parent with the calculations and related documentation to determine whether and to what extent the vote described in this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is necessary in order to avoid the imposition of Taxes under Section 4999 of the Code. Prior to the Closing Date, the Company shall deliver to Parent evidence that a vote of the stockholders of the Company was solicited in accordance with the foregoing and whether the requisite number of votes of the stockholders of the Company was obtained with respect to the Waived 280G Benefits or that the vote did not pass and the Waived 280G Benefits will not be paid or retained.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ALL PARTIES HERETO</w:t>
      </w:r>
    </w:p>
    <w:p>
      <w:pPr>
        <w:spacing w:after="0" w:line="20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u w:val="single" w:color="auto"/>
          <w:color w:val="auto"/>
        </w:rPr>
        <w:t>Commercially Reasonable Efforts; Further Assurances; Governmental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87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obligations of which, for the avoidance of doubt, shall control to the extent of any conflict with the succeeding provisions of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each party shall use its reasonable best efforts to take, or cause to be taken, all actions and to do, or cause to be done, all things necessary or desirable under applicable Laws, and cooperate as reasonably requested by the other parties, in each case, to consummate and implement expeditiously each of the transactions contemplated by this Agreement, including using its commercially reasonable efforts to (i) obtain all necessary actions, nonactions, waivers, consents, approvals and other authorizations from all applicable Authorities prior to the Effective Time; (ii) avoid an Action by any Authority, and (iii) execute and deliver any additional instruments necessary to consummate the transactions contemplated by this Agreement. In the event that, at any time after the Closing, any further action is necessary or desirable to carry out the purposes of this Agreement, the proper officers and directors of each party shall use their commercially reasonable efforts to take all such action.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each of the Company and Parent agrees to (i) reasonably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reasonably apprised of the status of matters relating to the completion of the transactions contemplated by this Agreement, including promptly furnishing the other with copies of notices and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 be made with, or action or nonactions, waivers, expirations or terminations of waiting periods, clearances, consents or orders required to be obtained from, such Authority in connection with execution and delivery of this Agreement and the consummation of the transactions contemplated by this Agreement and (v) to the extent reasonably practicable, consult with the other in advance of and not participate in any meeting or discussion relating to the transactions contemplated by this Agreement, either in person or by telephone, with any Authority in connection with the proposed transactions unless it gives the other party the opportunity to attend and observe;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in each of clauses (iii) and (iv) above, materials may be redacted (A) to remove references concerning the valuation of such party and its Affiliates, (B) as necessary to comply with contractual arrangements or applicable Laws, and (C) as necessary to address reasonable attorney-client or other privilege or confidentiality concerns.</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Parent, on the one hand, and the Company, on the other hand, shall each notify the other in writing promptly after learning of any stockholder demands or other stockholder Action (including derivative claims) relating to this Agreement, any of the Additional Agreements or any matters relating thereto commenced against Parent, any of the Parent Parties or any of its or their respective Representatives in their capacity as a representative of a Parent Party or against any member of the Company Group (collectively, the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The Parent Parties shall control the negotiation, defense and settlement of any such Transaction Litigation brought against the Parent, Merger Sub or members of the boards of directors of Parent or Merger Sub and the Company shall control the negotiation, defense and settlement of any such Transaction Litigation brought against any member of the Company Group or the members of their boards of directors; </w:t>
      </w:r>
      <w:r>
        <w:rPr>
          <w:rFonts w:ascii="Times New Roman" w:cs="Times New Roman" w:eastAsia="Times New Roman" w:hAnsi="Times New Roman"/>
          <w:sz w:val="18"/>
          <w:szCs w:val="18"/>
          <w:i w:val="1"/>
          <w:iCs w:val="1"/>
          <w:u w:val="single" w:color="auto"/>
          <w:color w:val="auto"/>
        </w:rPr>
        <w:t>provided, however</w:t>
      </w:r>
      <w:r>
        <w:rPr>
          <w:rFonts w:ascii="Times New Roman" w:cs="Times New Roman" w:eastAsia="Times New Roman" w:hAnsi="Times New Roman"/>
          <w:sz w:val="18"/>
          <w:szCs w:val="18"/>
          <w:color w:val="auto"/>
        </w:rPr>
        <w:t xml:space="preserve">, that in no event shall the Company or Parent settle, compromise or come to any arrangement with respect to any Transaction Litigation, or agree to do the same, without the prior written consent of the other party (not to be unreasonably withheld, conditioned or delayed;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it shall be deemed to be reasonable for Parent (if the Company is controlling the Transaction Litigation) or the Company (if the Parent is controlling the Transaction Litigation) to withhold, condition or delay its consent if any such settlement or compromise (i) does not provide for a legally binding, full, unconditional and irrevocable release of each Parent Party (if the Company is controlling the Transaction Litigation) or the Company and its Subsidiaries and related parties (if Parent is controlling the Transaction Litigation) and its respective Representative that is the subject of such Transaction Litigation, (ii) provides for any non-monetary, injunctive, equitable or similar relief against any Parent Party (if the Company is controlling the Transaction Litigation) or the Company and its Subsidiaries and related parties (if Parent is controlling the Transaction Litigation) or (iii) contains an admission of wrongdoing or liability by a Parent Party (if the Company is controlling the Transaction Litigation) or the Company and its Subsidiaries and related parties (if Parent is controlling the Transaction Litigation) and its respective Representative that is the subject of such Transaction Litigation. Parent and the Company shall each (A) keep the other reasonably informed regarding any Transaction Litigation, (B)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(C) consider in good faith the other’s advice with respect to any such Transaction Litigation and (D) reasonably cooperate with each other.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Compliance with SPAC Agreements</w:t>
      </w:r>
      <w:r>
        <w:rPr>
          <w:rFonts w:ascii="Times New Roman" w:cs="Times New Roman" w:eastAsia="Times New Roman" w:hAnsi="Times New Roman"/>
          <w:sz w:val="18"/>
          <w:szCs w:val="18"/>
          <w:color w:val="auto"/>
        </w:rPr>
        <w:t>. During the Interim Period, Parent shall (a) comply with the material terms of the Trust Agreement, the Underwriting Agreement, dated as of August 3, 2020, by and between Parent and Chardan Capital Markets, LLC and (b) enforce the material terms of</w:t>
      </w:r>
    </w:p>
    <w:p>
      <w:pPr>
        <w:ind w:left="220" w:hanging="212"/>
        <w:spacing w:after="0"/>
        <w:tabs>
          <w:tab w:leader="none" w:pos="2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agreements, dated as of August 3, 2020, by and among Parent, the Sponsor and each of the officers and directors of Parent named therein, and</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2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Escrow Agreement, dated as of August 3, 2020, by and among Parent, Continental Stock Transfer &amp; Trust Company, as escrow agent, and the Sponsor and the other Parent Shareholders named therein.</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necessary to complete the SEC Statement, the other Offer Documents or any Other Filings, the Company, on the one hand, and Parent, on the other hand, shall comply with the Confidentiality Agreement.</w:t>
      </w:r>
    </w:p>
    <w:p>
      <w:pPr>
        <w:spacing w:after="0" w:line="16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Directors’ and Officers’ Indemnification and Liability Insurance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indemnification for acts or omissions occurring through the Closing Date now existing in favor of the current directors and officers of the Company or its Subsidiaries or the Parent Parties and Persons who served as a director, officer, member, trustee or fiduciary of another corporation, partnership, joint venture, trust, pension or other employee benefit plan or enterprise at the request of the Company or its Subsidiaries or the Parent Parties, as provided in their respective organizational documents or in any indemnification agreements, shall survive the Merger and shall continue in full force and effect in accordance with their terms. For a period of six (6) years after the Effective Time, Parent shall cause the organizational documents of Parent and the Surviving Corporation and their respective Subsidiaries to contain provisions no less favorable with respect to exculpation and indemnification of and advancement of expenses than are set forth as of the date of this Agreement in the organizational documents of Parent or the Company and its Subsidiaries, as applicable, to the extent permitted by applicable Law.</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8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Parent and the Company shall reasonably cooperate in order to obtain directors’ and officers’ liability insurance for Parent and the Company that shall be effective as of the Closing and will cover (i) those Persons who were directors and officers of the Company and Parent prior to the Closing and (ii) those Persons who will be the directors and officers of Parent and its Subsidiaries (including the Surviving Corporation after the Effective Time) at and after the Closing on terms not less favorable than the better of (x) the terms of the current directors’ and officers’ liability insurance in place for the Company’s directors and officers and (y) the terms of a typical directors’ and officers’ liability insurance policy for a company whose equity is listed on Nasdaq which policy has a scope and amount of coverage that is reasonably appropriate for a company of similar characteristics (including the line of business and revenues) as the Surviving Corporation.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both"/>
        <w:ind w:firstLine="1304"/>
        <w:spacing w:after="0" w:line="266" w:lineRule="auto"/>
        <w:tabs>
          <w:tab w:leader="none" w:pos="188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are intended to be for the benefit of, and shall be enforceable by, each Person who will have been a director or officer of the Company or a Parent Party for all periods ending on or before the Closing Date and may not be changed with respect to any officer or director without his or her written consent.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5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shall obtain and fully pay the premium for a six-year prepaid “tail” policy for the extension of the directors’ and officers’ liability coverage of the Parent’s and Company’s existing directors’ and officers’ liability insurance policies, for claims reporting or discovery period of six years from and after the Effective Time, on terms and conditions providing coverage retentions, limits and other material terms (other than premiums payable) substantially equivalent to the current policies of directors’ and officers’ liability insurance maintained by Parent and the Company with respect to matters arising on or before the Effective Time, covering without limitation the transactions contemplated hereby.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Parent Public Filings; Nasdaq</w:t>
      </w:r>
      <w:r>
        <w:rPr>
          <w:rFonts w:ascii="Times New Roman" w:cs="Times New Roman" w:eastAsia="Times New Roman" w:hAnsi="Times New Roman"/>
          <w:sz w:val="18"/>
          <w:szCs w:val="18"/>
          <w:color w:val="auto"/>
        </w:rPr>
        <w:t>. During the Interim Period, Parent will keep current and timely file all of its public filings with the SEC and otherwise comply in all material respects with applicable securities Laws and shall use its reasonable best efforts prior to the Closing to maintain the listing of the Parent Ordinary Shares on Nasdaq. During the Interim Period, Parent shall use its reasonable best efforts to cause (a) Parent’s initial listing application with Nasdaq in connection with the transactions contemplated by this Agreement to have been approved; (b) all applicable initial and continuing listing requirements of Nasdaq to be satisfied; and (c) the Parent Common Stock, including the Merger Consideration Shares, to be approved for listing on Nasdaq, subject to official notice of issuance, in each case, as promptly as reasonably practicable after the date of this Agreement and in any event prior to the Effective Time.</w:t>
      </w:r>
    </w:p>
    <w:p>
      <w:pPr>
        <w:spacing w:after="0" w:line="18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u w:val="single" w:color="auto"/>
          <w:color w:val="auto"/>
        </w:rPr>
        <w:t>Certain Tax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81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the Company and their respective Affiliates shall use its reasonable best efforts to cause the Domestication and Merger to qualify as a “reorganization” within the meaning of Section 368(a) of the Code. Neither Parent nor the Company nor any of their Affiliates shall take any action, or fail to take any action, that could reasonably be expected to cause the Merger to fail to qualify as a “reorganization” within the meaning of Section 368(a) of the Code. Each of the parties hereto agrees to promptly notify all other parties hereto of any challenge by any Governmental Authority to the characterization of either the Domestication or Merger as a “reorganization” within the meaning of Section 368(a) of the Code. Following the Closing, Parent shall continue at least one significant historic business line of the Company Group or use at least a significant portion of the Company Group’s historic business assets in a business, in each case within the meaning of Treasury Regulations Section 1.368-1(d).</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6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Opinions</w:t>
      </w:r>
      <w:r>
        <w:rPr>
          <w:rFonts w:ascii="Times New Roman" w:cs="Times New Roman" w:eastAsia="Times New Roman" w:hAnsi="Times New Roman"/>
          <w:sz w:val="18"/>
          <w:szCs w:val="18"/>
          <w:color w:val="auto"/>
        </w:rPr>
        <w:t>. If, in connection with the preparation and filing of the Registration Statement and Proxy Statement, the SEC requires that tax opinions be prepared and submitted, Parent, Merger Sub, and/or the Company shall deliver to Paul Hastings LLP and/or Loeb &amp; Loeb LLP, respectively, customary Tax representation letters satisfactory to such counsel, dated and executed as of the date the Registration Statement and Proxy Statement shall have been declared effective by the SEC and such other date(s) as determined reasonably necessary by such counsel in connection with the preparation and filing of the Registration Statement and Proxy Statement. For the avoidance of doubt, if the SEC requires a tax opinion with respect to the qualification of the Merger as a tax-free reorganization under Section 368 be prepared and submitted, Loeb &amp; Loeb LLP shall not be obligated or required to prepare and submit such tax opinion; provided, that the SEC has not explicitly requested such opinion from counsel to the Parent Parties.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both"/>
        <w:ind w:firstLine="1304"/>
        <w:spacing w:after="0" w:line="258" w:lineRule="auto"/>
        <w:tabs>
          <w:tab w:leader="none" w:pos="181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 Cooperation</w:t>
      </w:r>
      <w:r>
        <w:rPr>
          <w:rFonts w:ascii="Times New Roman" w:cs="Times New Roman" w:eastAsia="Times New Roman" w:hAnsi="Times New Roman"/>
          <w:sz w:val="18"/>
          <w:szCs w:val="18"/>
          <w:color w:val="auto"/>
        </w:rPr>
        <w:t>. Each of the parties hereto shall (and shall cause its respective Affiliates to) cooperate fully, as and to the extent reasonably requested by another party hereto, in connection with the filing of relevant Tax Returns, and any audit or tax proceeding. Such cooperation shall include the retention and (upon the other party’s request) the provision of records and information reasonably relevant to any tax proceeding or audit, making employees available on a mutually convenient basis to provide additional information and explanation of any material provided hereunder.</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9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Notwithstanding anything to the contrary contained herein, all transfer, documentary, sales, use, stamp, registration, value added or other similar Taxes incurred in connection with the Domestication and Merger and the other transactions contemplated hereby shall be borne by Parent, and Parent shall file all necessary Tax Returns with respect to all such Taxes and timely pay (or cause to be timely paid) to the applicable Governmental Authority such Taxes. The parties agree to reasonably cooperate to (i) sign and deliver such resale and other certificates or forms as may be necessary or appropriate to establish an exemption from (or otherwise reduce) any such Taxes and (ii) prepare and file (or cause to be prepared and filed) all Tax Returns in respect of any such Taxes.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Prior to the Closing, Parent shall approve and adopt and submit for shareholder approval a new equity incentive plan in substantially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with such changes or modifications thereto as the Company and Parent may mutually agree (such agreement not to be unreasonably withheld, conditioned or delayed) (the “</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The Parent Equity Incentive Plan shall have such number of shares available for issuance equal to 17.5% of the Domesticated Parent Common Shares to be issued and outstanding immediately after the Closing and shall include an “evergreen” provision that is mutually agreeable to the Company and Parent that will provide for an automatic increase on the first day of each fiscal year in the number of shares available for issuance under the Parent Equity Incentive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Condition to the Obligations of the Parties</w:t>
      </w:r>
      <w:r>
        <w:rPr>
          <w:rFonts w:ascii="Times New Roman" w:cs="Times New Roman" w:eastAsia="Times New Roman" w:hAnsi="Times New Roman"/>
          <w:sz w:val="18"/>
          <w:szCs w:val="18"/>
          <w:color w:val="auto"/>
        </w:rPr>
        <w:t>. The obligations of all of the parties to consummate the Closing are subject to the satisfaction or written waiver (where permissible) by Parent and the Company of all the following conditions:</w:t>
      </w:r>
    </w:p>
    <w:p>
      <w:pPr>
        <w:spacing w:after="0" w:line="162" w:lineRule="exact"/>
        <w:rPr>
          <w:sz w:val="20"/>
          <w:szCs w:val="20"/>
          <w:color w:val="auto"/>
        </w:rPr>
      </w:pPr>
    </w:p>
    <w:p>
      <w:pPr>
        <w:jc w:val="both"/>
        <w:ind w:firstLine="1304"/>
        <w:spacing w:after="0" w:line="266" w:lineRule="auto"/>
        <w:tabs>
          <w:tab w:leader="none" w:pos="192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provisions of any applicable Law then in effect and no Order issued by an Authority that has jurisdiction over the parties hereto with respect to the transactions contemplated hereby shall restrain or prohibit the consummation of the transactions contemplated hereby, including the Merger.</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any redemption of shares of Purchase Ordinary Shares in connection with the transactions contemplated by this Agreement, Parent shall have net tangible assets of at least $5,000,001 upon consummation of the Merger.</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shall have been obtained.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ind w:firstLine="1304"/>
        <w:spacing w:after="0" w:line="282" w:lineRule="auto"/>
        <w:tabs>
          <w:tab w:leader="none" w:pos="20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Proposals shall have been approved at the Parent Shareholder Meeting by the requisite vote of Parent Shareholders in accordance with Parent’s amended and restated memorandum and articles of association and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9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initial listing application with Nasdaq in connection with the transactions contemplated by this Agreement shall have been conditionally approved and, immediately following the Effective Time, Parent shall satisfy any applicable initial and continuing listing requirements of Nasdaq, and Parent shall not have received any notice of non-compliance therewith, and the Merger Consideration Shares shall have been approved for listing on Nasdaq.</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S-4 shall have become effective in accordance with the provisions of the Securities Act, no stop order suspending the effectiveness of the Form S-4 shall have been issued by the SEC that remains in effect and no proceeding seeking such a stop order shall have been initiated by the SEC and not withdrawn.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obligation of Parent and Merger Sub to consummate the Closing is subject to the satisfaction, or the waiver in Parent’s sole and absolute discretion, of all the following further conditions:</w:t>
      </w:r>
    </w:p>
    <w:p>
      <w:pPr>
        <w:spacing w:after="0" w:line="162" w:lineRule="exact"/>
        <w:rPr>
          <w:sz w:val="20"/>
          <w:szCs w:val="20"/>
          <w:color w:val="auto"/>
        </w:rPr>
      </w:pPr>
    </w:p>
    <w:p>
      <w:pPr>
        <w:jc w:val="both"/>
        <w:ind w:firstLine="1304"/>
        <w:spacing w:after="0" w:line="266" w:lineRule="auto"/>
        <w:tabs>
          <w:tab w:leader="none" w:pos="184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performed or complied with, in all material respects, all of its obligations hereunder required to be performed or complied with (without giving effect to any materiality or similar qualifiers contained therein) by the Company at or prior to the Closing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4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Agreement (disregarding all qualifications contained therein relating to materiality or Material Adverse Effect), other than the Company Fundamental Representations, shall be true and correct in all respects as of the date of this Agreement and as of the Closing Date, as if made at and as of such date (except to the extent that any such representation and warranty is made as of an earlier date, in which case such representation and warranty shall be true and correct in all material respects at and as of such earlier date) other than as would not in individually or in the aggregate reasonably be expected to have a Material Adverse Effect in respect of the Company Group.</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2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Fundamental Representations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in all respects at and as of such specific date), other than de minimis inaccuracies in respect of the fourth and seventh sentences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82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occurred any Material Adverse Effect pursuant to clause (a) of the definition thereof in respect of the Company Group that is continuing.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3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received a certificate, dated as of the Closing Date, signed by the Chief Executive Officer of the Company certifying the accuracy of the provisions of the foregoing clauses (a), (b), (c) and (d)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1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 certificate, dated as of the Closing Date, signed by the Secretary of the Company attaching true, correct and complete copies of (i) the Company Certificate of Incorporation, certified as of a recent date by the Secretary of State of the State of Delaware;</w:t>
      </w:r>
    </w:p>
    <w:p>
      <w:pPr>
        <w:jc w:val="both"/>
        <w:ind w:firstLine="8"/>
        <w:spacing w:after="0" w:line="250" w:lineRule="auto"/>
        <w:tabs>
          <w:tab w:leader="none" w:pos="27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Bylaws; (iii) copies of resolutions duly adopted by the Board of Directors of the Company authorizing this Agreement, the Additional Agreements to which the Company is a party and the transactions contemplated hereby and thereby and the Company Stockholder Written Consent; and</w:t>
      </w:r>
    </w:p>
    <w:p>
      <w:pPr>
        <w:ind w:left="320" w:hanging="312"/>
        <w:spacing w:after="0"/>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of the Company, certified as of a recent date by the Secretary of State of the State of Delaware.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ind w:right="20" w:firstLine="1304"/>
        <w:spacing w:after="0" w:line="282" w:lineRule="auto"/>
        <w:tabs>
          <w:tab w:leader="none" w:pos="182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Company Securityholders, as applicable, shall have executed and delivered to Parent a copy of each Additional Agreement to which the Company or such Company Securityholder, as applicable, is a party.</w:t>
      </w:r>
    </w:p>
    <w:p>
      <w:pPr>
        <w:spacing w:after="0" w:line="161"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 duly executed certificate conforming to the requirements of Sections 1.897-2(h)(1)</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2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1.1445-2(c)(3)(i) of the United States Treasury regulations, and a notice to be delivered to the United States Internal Revenue Service as required under Section 1.897-2(h)(2) of the United States Treasury regulations, each dated no more than thirty (30) days prior to the Closing Date and in form and substance reasonably acceptable to Parent.</w:t>
      </w:r>
    </w:p>
    <w:p>
      <w:pPr>
        <w:spacing w:after="0" w:line="185" w:lineRule="exact"/>
        <w:rPr>
          <w:rFonts w:ascii="Times New Roman" w:cs="Times New Roman" w:eastAsia="Times New Roman" w:hAnsi="Times New Roman"/>
          <w:sz w:val="18"/>
          <w:szCs w:val="18"/>
          <w:color w:val="auto"/>
        </w:rPr>
      </w:pPr>
    </w:p>
    <w:p>
      <w:pPr>
        <w:ind w:firstLine="1304"/>
        <w:spacing w:after="0" w:line="282" w:lineRule="auto"/>
        <w:tabs>
          <w:tab w:leader="none" w:pos="181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the financial statements required to be delivered to Parent pursuant to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to be included in the Parent SEC Documents.</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Conversion shall have been completed.</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Conversion shall have been completed.</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205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Warrant shall have been amended in accordance with its terms to permit the conversion thereof into a Domesticated Parent Warrant and any Company Warrants not so amended shall be canceled by the Company.</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contemplated by the Investor Commitment shall have been consummated.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obligations of the Company to consummate the Closing is subject to the satisfaction, or the waiver in the Company’s sole and absolute discretion, of all of the following further conditions:</w:t>
      </w:r>
    </w:p>
    <w:p>
      <w:pPr>
        <w:spacing w:after="0" w:line="162" w:lineRule="exact"/>
        <w:rPr>
          <w:sz w:val="20"/>
          <w:szCs w:val="20"/>
          <w:color w:val="auto"/>
        </w:rPr>
      </w:pPr>
    </w:p>
    <w:p>
      <w:pPr>
        <w:jc w:val="both"/>
        <w:ind w:firstLine="1304"/>
        <w:spacing w:after="0" w:line="266" w:lineRule="auto"/>
        <w:tabs>
          <w:tab w:leader="none" w:pos="19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Party shall each have duly performed or complied with, in all material respects, all of its respective obligations hereunder required to be performed or complied with (without giving effect to any materiality or similar qualifiers contained therein) by such Parent Party, as applicable, at or prior to the Closing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Parent Parties contained in this Agreement (disregarding all qualifications contained therein relating to materiality or Material Adverse Effect), other than the Parent Party Fundamental Representations, shall be true and correct in all respects as of the date of this Agreement and as of the Closing Date, as if made at and as of such date (except to the extent that any such representation and warranty is made as of an earlier date, in which case such representation and warranty shall be true and correct in all respects at and as of such earlier date) other than as would not in individually or in the aggregate reasonably be expected to have a Material Adverse Effect in respect of the Parent Parties.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Party Fundamental Representations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de minimis inaccuracies.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ind w:right="20" w:firstLine="1304"/>
        <w:spacing w:after="0" w:line="282" w:lineRule="auto"/>
        <w:tabs>
          <w:tab w:leader="none" w:pos="182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occurred any Material Adverse Effect pursuant to clause (a) of the definition thereof in respect of Parent that is continuing.</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received a certificate, dated as of the Closing Date, signed by the Chief Executive Officer of Parent accuracy of the provisions of the foregoing clauses (a), (b), (c) and (d)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6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Sponsor, Parent or other Parent Shareholder, as applicable, shall have executed and delivered to the Company a copy of each Additional Agreement to which Parent, Sponsor or such other Parent Shareholder, as applicable, is a party.</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size and composition of the post-Closing Parent Board of Directors shall have been appointed as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Parent Closing Cash shall be no less than $60,000,000 (the “</w:t>
      </w:r>
      <w:r>
        <w:rPr>
          <w:rFonts w:ascii="Times New Roman" w:cs="Times New Roman" w:eastAsia="Times New Roman" w:hAnsi="Times New Roman"/>
          <w:sz w:val="18"/>
          <w:szCs w:val="18"/>
          <w:u w:val="single" w:color="auto"/>
          <w:color w:val="auto"/>
        </w:rPr>
        <w:t>Minimum Available Cash Condition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Domestication shall have been completed as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contemplated by the Sponsor Commitment shall have been consummated.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u w:val="single" w:color="auto"/>
          <w:color w:val="auto"/>
        </w:rPr>
        <w:t>Termination Without Default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89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the closing of the transactions contemplated hereunder has not occurred by February 6, 2023 (the “</w:t>
      </w:r>
      <w:r>
        <w:rPr>
          <w:rFonts w:ascii="Times New Roman" w:cs="Times New Roman" w:eastAsia="Times New Roman" w:hAnsi="Times New Roman"/>
          <w:sz w:val="18"/>
          <w:szCs w:val="18"/>
          <w:u w:val="single" w:color="auto"/>
          <w:color w:val="auto"/>
        </w:rPr>
        <w:t>Outside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and (ii) the material breach or violation of any representation, warranty, covenant or obligation under this Agreement by the party (i.e., a Parent Party, on one hand, or the Company, on the other hand) seeking to terminate this Agreement was not the cause of, or resulted in, the failure of the Closing to occur on or before the Outside Closing Date, then Parent or the Company, as applicable, shall have the right, at its sole option, to terminate this Agreement without liability to the other party. Such right may be exercised by Parent or the Company, as the case may be, giving written notice to the other at any time after the Outside Closing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9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 Authority that has jurisdiction over the parties hereto with respect to the transactions contemplated hereby shall have issued an Order or enacted a Law having the effect of permanently restraining, enjoining or otherwise prohibiting the Merger, which Order or Law is final and non-appealable, Parent or the Company shall have the right, at its sole option, to terminate this Agreement without liability to the other party;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right to terminate this Agreement pursuant to this Section shall not be available to the Company or Parent if the failure by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or its Affiliates to comply with any provision of this Agreement has been a substantial cause of, or substantially resulted in, such action by such Authority.</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90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Extension Meeting is held and the Requisite Extension Approval is not obtained, then the Company shall have the right, at its sole option, to terminate this Agreement without liability to the Parent Parties.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ind w:firstLine="1304"/>
        <w:spacing w:after="0" w:line="282" w:lineRule="auto"/>
        <w:tabs>
          <w:tab w:leader="none" w:pos="184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at any time by mutual written consent of the Company and Parent duly authorized by each of their respective boards of directors.</w:t>
      </w:r>
    </w:p>
    <w:p>
      <w:pPr>
        <w:spacing w:after="0" w:line="16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u w:val="single" w:color="auto"/>
          <w:color w:val="auto"/>
        </w:rPr>
        <w:t>Termination Upon Default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86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may terminate this Agreement by giving notice to the Company, without prejudice to any rights or obligations any Parent Party may have: (i) at any time prior to the Closing Date if the Company shall have breached any representation, warranty, agreement or covenant contained herein to be performed on or prior to the Closing Date, which has rendered or would reasonably be expected to render the satisfaction of any of the conditions set forth in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10.2(b)</w:t>
      </w:r>
      <w:r>
        <w:rPr>
          <w:rFonts w:ascii="Times New Roman" w:cs="Times New Roman" w:eastAsia="Times New Roman" w:hAnsi="Times New Roman"/>
          <w:sz w:val="18"/>
          <w:szCs w:val="18"/>
          <w:color w:val="auto"/>
        </w:rPr>
        <w:t xml:space="preserve"> incapable of being satisfied and such breach cannot be cured or is not cured by the earlier of the Outside Closing Date and thirty (30) days following receipt by the Company of a written notice from Parent describing in reasonable detail the nature of such breach; or (ii) at any time after the Company Stockholder Written Consent Deadline if the Company has not previously received the Company Stockholder Approval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upon the Company’s receipt of the Company Stockholder Approval, Parent shall no longer have any right to terminate this Agreement under this clause (ii)).</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0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terminate this Agreement by giving notice to Parent, without prejudice to any rights or obligations the Company may have, if: (i) Parent shall have breached any of its covenants, agreements, representations, and warranties contained herein to be performed on or prior to the Closing Date, which has rendered or reasonably would render the satisfaction of any of the conditions set forth in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10.3(b)</w:t>
      </w:r>
      <w:r>
        <w:rPr>
          <w:rFonts w:ascii="Times New Roman" w:cs="Times New Roman" w:eastAsia="Times New Roman" w:hAnsi="Times New Roman"/>
          <w:sz w:val="18"/>
          <w:szCs w:val="18"/>
          <w:color w:val="auto"/>
        </w:rPr>
        <w:t xml:space="preserve"> incapable of being satisfied and such breach cannot be cured or is not cured by the earlier of the Outside Closing Date and thirty (30) days following receipt by Parent of a written notice from the Company describing in reasonable detail the nature of such breach.</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If this Agreement is terminated pursuant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(other than as may be agreed in a termination pursuant to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 xml:space="preserve">), this Agreement shall become void and of no further force or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termination shall result from the Willful Breach by a party or its Affiliate of its covenants and agreements hereunder or Fraud in connection with the transactions contemplated by this Agreement, such party shall not be relieved of liability to the other parties for any such Willful Breach or Fraud. The provisions of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the Confidentiality Agreement, shall survive any termination hereof pursuant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(a) if by hand, electronic mail or nationally recognized overnight courier service, by 5:00 PM Pacific Time on a Business Day, addressee’s day and time, on the date of delivery, and if delivered after 5:00 PM Eastern Time, on the first Business Day after such delivery; (b) if by email, on the date of transmission with affirmative confirmation of receipt; or (c)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(or, following the Closing, the Surviving Corporation or Parent), to:</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Orchestra BioMed,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150 Union Square Drive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Hope PA 18938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David Hochman, Chairman &amp; CEO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DHochman@orchestrabiomed.com</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ind w:left="130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Samuel A. Waxman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samuelwaxman@paulhastings.com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Parent or Merger Sub (prior to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Health Sciences Acquisitions Corporation 2</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RTW Investments, LP</w:t>
      </w:r>
    </w:p>
    <w:p>
      <w:pPr>
        <w:ind w:left="1300"/>
        <w:spacing w:after="0" w:line="184" w:lineRule="auto"/>
        <w:rPr>
          <w:sz w:val="20"/>
          <w:szCs w:val="20"/>
          <w:color w:val="auto"/>
        </w:rPr>
      </w:pPr>
      <w:r>
        <w:rPr>
          <w:rFonts w:ascii="Times New Roman" w:cs="Times New Roman" w:eastAsia="Times New Roman" w:hAnsi="Times New Roman"/>
          <w:sz w:val="16"/>
          <w:szCs w:val="16"/>
          <w:color w:val="auto"/>
        </w:rPr>
        <w:t>40 10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Avenue, Floor 7</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al@hsac2.com, gd@hsac2.com</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345 Park Ave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Giovanni Caruso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gcaruso@loeb.com</w:t>
      </w:r>
    </w:p>
    <w:p>
      <w:pPr>
        <w:spacing w:after="0" w:line="20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u w:val="single" w:color="auto"/>
          <w:color w:val="auto"/>
        </w:rPr>
        <w:t>Amendments; No Waivers; Remedies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9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8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84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no statement herein of any right or remedy shall impair any other right or remedy stated herein or that otherwise may be available.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6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party shall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1" w:name="page92"/>
    <w:bookmarkEnd w:id="9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Arm’s Length Bargaining; No Presumption Against Drafter</w:t>
      </w:r>
      <w:r>
        <w:rPr>
          <w:rFonts w:ascii="Times New Roman" w:cs="Times New Roman" w:eastAsia="Times New Roman" w:hAnsi="Times New Roman"/>
          <w:sz w:val="18"/>
          <w:szCs w:val="18"/>
          <w:color w:val="auto"/>
        </w:rPr>
        <w:t>. This Agreement has been negotiated at arm’s length by parties of equal bargaining strength, each represented by counsel or having had but declined the opportunity to be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Except as required by Law or applicable stock exchange rules and except with respect to the Additional Parent SEC Documents, the parties agree that neither they nor their Representatives shall issue any press release or make any other public disclosure concerning the transactions contemplated hereunder without the prior approval of the other party hereto (such approval not to be unreasonably withheld, conditioned or delayed). If a party is required to make such a disclosure as required by Law or applicable stock exchange rules, the party making such determination will, if practicable in the circumstances, use reasonable commercial efforts to allow the other party reasonable time to comment on such disclosure in advance of its issuance.</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expressly set forth herein, the costs and expenses in connection with this Agreement and the transactions contemplated hereby shall be paid jointly and severally by Parent and the Surviving Corporation upon the Closing. If the Closing does not take place, each party shall be responsible for its own expenses.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No Assignment or Delegation</w:t>
      </w:r>
      <w:r>
        <w:rPr>
          <w:rFonts w:ascii="Times New Roman" w:cs="Times New Roman" w:eastAsia="Times New Roman" w:hAnsi="Times New Roman"/>
          <w:sz w:val="18"/>
          <w:szCs w:val="18"/>
          <w:color w:val="auto"/>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disputes or controversies arising out of or relating to this Agreement or the transactions contemplated hereby, including the applicable statute of limitations,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signature pages that together (but need not individually) bear the signatures of all other parties.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Additional Agreements, sets forth the entire agreement of the parties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 Notwithstanding the foregoing, the Confidentiality Agreement is not superseded by this Agreement or merged herein and shall continue in accordance with its terms, including in the event of any termination of this Agreement.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execute and deliver such documents and take such action, as may reasonably be considered within the scope of such party’s obligations hereunder, necessary to effectuate the transactions contemplated by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12.19</w:t>
      </w:r>
      <w:r>
        <w:rPr>
          <w:rFonts w:ascii="Times New Roman" w:cs="Times New Roman" w:eastAsia="Times New Roman" w:hAnsi="Times New Roman"/>
          <w:sz w:val="18"/>
          <w:szCs w:val="18"/>
          <w:color w:val="auto"/>
        </w:rPr>
        <w:t>, neither this Agreement nor any provision hereof confers any benefit or right upon or may be enforced by any Person not a signatory hereto.</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Reference is made to the final prospectus of Parent, dated August 3, 2020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has read the Prospectus and understands that Parent has established the Trust Account for the benefit of the public Parent Shareholders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the Company, for itself and on behalf of the Company Securityholders, hereby agrees that it does not now and shall not at any time hereafter prior to the Closing have any right, title, interest or claim of any kind in or to any monies in the Trust Account as a result of, or arising out of, any negotiations, contracts or agreements with Parent and hereby agrees that it will not seek recourse against the Trust Account for any reason.</w:t>
      </w:r>
    </w:p>
    <w:p>
      <w:pPr>
        <w:spacing w:after="0" w:line="189"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12.14</w:t>
      </w:r>
      <w:r>
        <w:rPr>
          <w:sz w:val="20"/>
          <w:szCs w:val="20"/>
          <w:color w:val="auto"/>
        </w:rPr>
        <w:tab/>
      </w:r>
      <w:r>
        <w:rPr>
          <w:rFonts w:ascii="Times New Roman" w:cs="Times New Roman" w:eastAsia="Times New Roman" w:hAnsi="Times New Roman"/>
          <w:sz w:val="17"/>
          <w:szCs w:val="17"/>
          <w:u w:val="single" w:color="auto"/>
          <w:color w:val="auto"/>
        </w:rPr>
        <w:t>No Other Representations; No Reliance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1" w:lineRule="auto"/>
        <w:tabs>
          <w:tab w:leader="none" w:pos="237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EACH CASE, AS MODIFIED BY THE SCHEDULES TO THIS AGREEMENT.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contemplated hereby, and no statement contained in any of such materials or made in any such presentation shall be deemed a representation or warranty hereunder or otherwise or deemed to be relied upon by Parent or Merger Sub in executing, delivering and performing this Agreement, the Additional Agreements or the transactions contemplated hereby or thereby, in each case, except for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modified by the Company Disclosure Schedules.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Agreements and the transactions contemplated hereby or thereby, in each case, except for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each case, as modified by the Company Disclosure Schedules. Except for the specific representations and warranties expressly made by the Company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each case, as modified by the Company Disclosure Schedules: (a) Parent acknowledges and agrees that: (i)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contemplated hereby, or in respect of any other matter or thing whatsoever; and (ii) no representative of any Company Securityholder or the Company has any authority, express or implied, to make any representations, warranties or agreements not specifically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subject to the limited remedies herein provided; (b) each of Parent and Merger Sub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(c) none of the Company, the Company Securityholders nor any other Person shall have any liability to Parent, Merger Sub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jc w:val="both"/>
        <w:ind w:firstLine="1304"/>
        <w:spacing w:after="0" w:line="251" w:lineRule="auto"/>
        <w:tabs>
          <w:tab w:leader="none" w:pos="209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PARENT, MERGER SUB NOR ANY OF THEIR RESPECTIVE REPRESENTATIVES HAS MADE ANY REPRESENTATIONS OR WARRANTIES, EXPRESS OR IMPLIED, OF ANY NATURE WHATSOEVER RELATING TO PARENT, MERGER SUB OR OTHERWISE IN CONNECTION WITH THE TRANSACTIONS CONTEMPLATED BY THIS AGREEMENT OR ANY ADDITIONAL AGREEMENT, OTHER THAN THOSE REPRESENTATIONS AND WARRANTIES EXPRESSLY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IN EACH CASE, AS MODIFIED BY THE SCHEDULES TO THIS AGREEMENT AND THE PARENT SEC DOCUMENTS. Without limiting the generality of the foregoing, none of Parent, Merger Sub nor any of their respective Representatives has made, and shall not be deemed to have made, any representations or warranties in the materials relating to Parent and Merger Sub made available to the Company and the Company Securityholders and their Representatives, including due diligence materials, or in any presentation of the business of the Parent by management of the Parent or others in connection with the transactions contemplated hereby, and no statement contained in any of such materials or made in any such presentation shall be deemed a representation or warranty hereunder or otherwise or deemed to be relied upon by the Company and the Company Securityholders in executing, delivering and performing this Agreement, the Additional Agreements or the transactions contemplated hereby or thereby, in each case, except for the representations and warranties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as modified by the Parent Disclosure Schedules and the Parent SEC Documents. It is understood that any cost estimates, projections or other predictions, any data, any financial information or any memoranda or offering materials or presentations, including any offering memorandum or similar materials made available by Parent, Merger Sub or their respective Representatives are not and shall not be deemed to be or to include representations or warranties of Parent and Merger Sub, and are not and shall not be deemed to be relied upon by the Company or Company Securityholders in executing, delivering and performing this Agreement, the Additional Agreements and the transactions contemplated hereby or thereby, in each case, except for the representations and warranties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in each case, as modified by the Parent Disclosure Schedules and the Parent SEC Documents. Except for the specific representations and warranties expressly made by Parent and Merger Sub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in each case as modified by the Parent Disclosure Schedules and Parent SEC Documents: (a) the Company acknowledges and agrees that: (i) none of the Parent Parties nor any of their respective Representatives is making or has made any representation or warranty, express or implied, at law or in equity, in respect of the Parent Parties, the business, assets, liabilities, operations, prospects or condition (financial or otherwise) of the Parent Parties, the nature or extent of any liabilities of the Parent Parties, the effectiveness or the success of any operations of the Parent Parties or the accuracy or completeness of any confidential information memoranda, projections, forecasts or estimates of earnings, or other information (financial or otherwise) regarding the Parent Parties furnished to the Company, the Company Securityholders or their respective Representatives or made available to the Company, the Company Securityholders and their Representatives in any “data rooms,” “virtual data rooms,” management presentations or any other form in expectation of, or in connection with, the transactions contemplated hereby, or in respect of any other matter or thing whatsoever; and (ii) no Representative of the Parent Parties has any authority, express or implied, to make any representations, warranties or agreements not specifically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subject to the limited remedies herein provided; (b) the Company specifically disclaims that it is relying upon or has relied upon any such other representations or warranties that may have been made by any Person, and acknowledges and agrees that the Parent Parties have each specifically disclaimed and do hereby specifically disclaim any such other representation or warranty made by any Person; and (c) none of the Parent Parties nor any other Person shall have any liability to the Company, the Company Securityholders or any other Person with respect to any such other representations or warranties, including projections, forecasts, estimates, plans or budgets of future revenue, expenses or expenditures, future results of operations, future cash flows or the future financial condition of the Parent or the future business, operations or affairs of the Parent.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12.15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xml:space="preserve">. THE PARTIES EACH HEREBY WAIVES, TO THE FULLEST EXTENT PERMITTED BY LAW, ANY RIGHT TO TRIAL BY JURY OF ANY PROCEEDING (A) ARISING UNDER THIS AGREEMENT OR UNDER ANY ADDITIONAL AGREEMENT OR (B) IN ANY WAY CONNECTED WITH OR RELATED OR INCIDENTAL TO THE DEALINGS OF THE PARTIES IN RESPECT OF THIS AGREEMENT OR ANY ADDITIONAL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(I) NO REPRESENTATIVE, AGENT OR ATTORNEY OF ANY OTHER PARTY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12.15</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12.16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xml:space="preserve">. Each of the parties hereto irrevocably and unconditionally submits to the exclusive jurisdiction of the Court of Chancery of the State of Delaware (or, to the extent such court does not have subject matter jurisdiction, the Superior Court of the State of Delaware), or, if it has or can acquire jurisdiction, in the United States District Court for the District of Delaware, for the purposes of any Action (a) arising under this Agreement or under any Additional Agreement or (b) in any way connected with or related or incidental to the dealings of the parties in respect of this Agreement or any Additional Agreement or any of the transactions contemplated hereby or thereby, and irrevocably and unconditionally waives any objection to the laying of venue of any such Action in any such court, and further irrevocably and unconditionally waives and agrees not to plead or claim in any such court that any such Action has been brought in an inconvenient forum. Each party hereby irrevocably and unconditionally waives, and agrees not to assert, by way of motion or as a defense, counterclaim or otherwise, in any Action (i) arising under this Agreement or under any Additional Agreement or (ii) in any way connected with or related or incidental to the dealings of the parties in respect of this Agreement or any Additional Agreement or any of the transactions contemplated hereby or thereby, (A) any claim that it is not personally subject to the jurisdiction of the courts as described in this </w:t>
      </w:r>
      <w:r>
        <w:rPr>
          <w:rFonts w:ascii="Times New Roman" w:cs="Times New Roman" w:eastAsia="Times New Roman" w:hAnsi="Times New Roman"/>
          <w:sz w:val="18"/>
          <w:szCs w:val="18"/>
          <w:u w:val="single" w:color="auto"/>
          <w:color w:val="auto"/>
        </w:rPr>
        <w:t>Section 12.16</w:t>
      </w:r>
      <w:r>
        <w:rPr>
          <w:rFonts w:ascii="Times New Roman" w:cs="Times New Roman" w:eastAsia="Times New Roman" w:hAnsi="Times New Roman"/>
          <w:sz w:val="18"/>
          <w:szCs w:val="18"/>
          <w:color w:val="auto"/>
        </w:rPr>
        <w:t xml:space="preserve"> for any reason, (B) that it or its property is exempt or immune from the jurisdiction of any such court or from any Action commenced in such courts (whether through service of notice, attachment prior to judgment, attachment in aid of execution of judgment, execution of judgment or otherwise) and (C) that (x) the Action in any such court is brought in an inconvenient forum, (y) the venue of such Action is improper or (z) this Agreement, or the subject matter hereof, may not be enforced in or by such courts. Each party hereto agrees that service of any process, summons, notice or document by registered mail to such party’s respective address set forth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shall be effective service of process for any such Action.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12.17 </w:t>
      </w: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the event of any legal action initiated by any party arising under or out of, in connection with or in respect of, this Agreement, the prevailing party shall be entitled to reasonable attorneys’ fees, costs and expenses incurred in such action, as determined and fixed by the court.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12.18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a party hereto,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12.19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xml:space="preserve">. This Agreement may be enforced only against, and any dispute, claim or controversy based upon, arising out of or related to this Agreement or the transactions contemplated hereby may be brought only against, the entities that are expressly named as parties hereto and then only with respect to the specific obligations set forth in this Agreement with respect to such party. No past, present or future director, officer, employee, incorporator, member, partner, shareholder, agent, attorney, advisor, lender or representative or Affiliate of any named party to this Agreement (which Persons are intended third-party beneficiaries of this </w:t>
      </w:r>
      <w:r>
        <w:rPr>
          <w:rFonts w:ascii="Times New Roman" w:cs="Times New Roman" w:eastAsia="Times New Roman" w:hAnsi="Times New Roman"/>
          <w:sz w:val="18"/>
          <w:szCs w:val="18"/>
          <w:u w:val="single" w:color="auto"/>
          <w:color w:val="auto"/>
        </w:rPr>
        <w:t>Section 12.19</w:t>
      </w:r>
      <w:r>
        <w:rPr>
          <w:rFonts w:ascii="Times New Roman" w:cs="Times New Roman" w:eastAsia="Times New Roman" w:hAnsi="Times New Roman"/>
          <w:sz w:val="18"/>
          <w:szCs w:val="18"/>
          <w:color w:val="auto"/>
        </w:rPr>
        <w:t>)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 contemplated hereby.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12.20 </w:t>
      </w:r>
      <w:r>
        <w:rPr>
          <w:rFonts w:ascii="Times New Roman" w:cs="Times New Roman" w:eastAsia="Times New Roman" w:hAnsi="Times New Roman"/>
          <w:sz w:val="18"/>
          <w:szCs w:val="18"/>
          <w:u w:val="single" w:color="auto"/>
          <w:color w:val="auto"/>
        </w:rPr>
        <w:t>Non-Survival of Representations, Warranties and Covenants</w:t>
      </w:r>
      <w:r>
        <w:rPr>
          <w:rFonts w:ascii="Times New Roman" w:cs="Times New Roman" w:eastAsia="Times New Roman" w:hAnsi="Times New Roman"/>
          <w:sz w:val="18"/>
          <w:szCs w:val="18"/>
          <w:color w:val="auto"/>
        </w:rPr>
        <w:t>. Except in the case of claims against a Person in respect of such Person’s Fraud or Willful Breach,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shall terminate and expire upon the occurrence of the Effective Time, except for</w:t>
      </w:r>
    </w:p>
    <w:p>
      <w:pPr>
        <w:spacing w:after="0" w:line="3" w:lineRule="exact"/>
        <w:rPr>
          <w:sz w:val="20"/>
          <w:szCs w:val="20"/>
          <w:color w:val="auto"/>
        </w:rPr>
      </w:pPr>
    </w:p>
    <w:p>
      <w:pPr>
        <w:ind w:left="260" w:hanging="252"/>
        <w:spacing w:after="0"/>
        <w:tabs>
          <w:tab w:leader="none" w:pos="2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covenants and agreements contained herein that by their terms expressly apply in whole or in part after the Closing and then only with respect to</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breaches occurring after the Closing and (b) this Article‎ XII.</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remainder of this page intentionally left blank; signature pages to follow]</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day and year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HEALTH SCIENCES ACQUISITION</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CORPORATION 2</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HSAC OLYMPUS MERGER SUB,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457200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80"/>
          </w:cols>
          <w:pgMar w:left="980" w:top="121" w:right="11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day and year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ORCHESTRA BIOMED,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David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David Hochman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457200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80"/>
          </w:cols>
          <w:pgMar w:left="980" w:top="121" w:right="1139" w:bottom="1440" w:gutter="0" w:footer="0" w:header="0"/>
        </w:sectPr>
      </w:pPr>
    </w:p>
    <w:bookmarkStart w:id="99" w:name="page100"/>
    <w:bookmarkEnd w:id="99"/>
    <w:p>
      <w:pPr>
        <w:ind w:left="1046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SUPPORT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2022, is made by and among Health Sciences Acquisitions Corporation 2, a Cayman Islands exempted company (which shall deregister in the Cayman Islands and domesticate as a Delaware corporation prior to the Closing)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Orchestra BioMed,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holder of Company Capital Stock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Parent, the Company and Holder shall be referred to herein from time to time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such terms in the Merger Agreement (as defined below).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Parent, the Company and HSAC Olympus Merger Sub, Inc., a Delaware corporation and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shall enter into that certain Agreement and Plan of Merger, dated as of the date hereof (as it may be amended, restated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Holder is the record and beneficial owner of all of the issued and outstanding shares of Company Capital Stock set forth on its signature page hereto; and</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WHEREAS, the Merger Agreement contemplates that the Parties will enter into this Agreement concurrently with the execution and delivery of the Merger Agreement by the parties thereto, pursuant to which, among other things, Holder will vote in favor of approval of (i) the adoption of the Merger Agreement and the approval of the Merger and the other transactions contemplated thereby, and (ii) if applicable, approval of the conversion of issued and outstanding shares of Series A Preferred Stock immediately prior to consummation of the Merger (collectively, the “</w:t>
      </w:r>
      <w:r>
        <w:rPr>
          <w:rFonts w:ascii="Times New Roman" w:cs="Times New Roman" w:eastAsia="Times New Roman" w:hAnsi="Times New Roman"/>
          <w:sz w:val="18"/>
          <w:szCs w:val="18"/>
          <w:u w:val="single" w:color="auto"/>
          <w:color w:val="auto"/>
        </w:rPr>
        <w:t>Company Proposals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pacing w:after="0" w:line="162" w:lineRule="exact"/>
        <w:rPr>
          <w:sz w:val="20"/>
          <w:szCs w:val="20"/>
          <w:color w:val="auto"/>
        </w:rPr>
      </w:pPr>
    </w:p>
    <w:p>
      <w:pPr>
        <w:ind w:firstLine="656"/>
        <w:spacing w:after="0" w:line="252" w:lineRule="auto"/>
        <w:tabs>
          <w:tab w:leader="none" w:pos="118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Holder hereby irrevocably and unconditionally agrees (a) to vote at any meeting of the stockholders of the Company (whether annual or special and whether or not an adjourned or postponed meeting however called and including any adjournment or postponement thereof), and in any action by written resolution of the stockholders of the Company, all of Holder’s shares of Company Capital Stock and any other equity securities of the Company that Holder holds of record or beneficially as of the date of this Agreement or acquires record or beneficial ownership after the date hereof, including any securities convertible into or exercisable or exchangeable for shares of Company Capital Stock (collectively, the “</w:t>
      </w:r>
      <w:r>
        <w:rPr>
          <w:rFonts w:ascii="Times New Roman" w:cs="Times New Roman" w:eastAsia="Times New Roman" w:hAnsi="Times New Roman"/>
          <w:sz w:val="18"/>
          <w:szCs w:val="18"/>
          <w:u w:val="single" w:color="auto"/>
          <w:color w:val="auto"/>
        </w:rPr>
        <w:t>Subject 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 in favor of the Company Proposals; (ii) to authorize and approve any amendment or amendments to the Company Certificate of Incorporation or other organizational documents of the Company that are reasonably necessary for purposes of effecting the transactions contemplated by the Merger Agreement and (iii) against, and withhold consent with respect to, (A) any change in the business, management or board of directors of the Company (other than in connection with the Merger Agreement and the Transactions) and (B) any other matter, action or proposal that would reasonably be expected to (x) result in a breach of any of the Company’s covenants, agreements or obligations under the Merger Agreement, (y) result in any of the conditions to the Closing set forth in Section 10.1 or Section 10.2 of the Merger Agreement not being satisfied or (z) impede, frustrate, prevent or nullify any provision of this Agreement or the Merger Agreement or any of the transactions contemplated hereby or thereby; and (b) if a meeting is held in respect of the matters set forth in clause (a), to appear at the meeting, in person or by proxy, or otherwise cause all of Holder’s Subject Company Equity Securities to be counted as present thereat for purposes of establishing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both"/>
        <w:ind w:firstLine="656"/>
        <w:spacing w:after="0" w:line="254" w:lineRule="auto"/>
        <w:tabs>
          <w:tab w:leader="none" w:pos="130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Holder hereby agrees that it shall not (a) sell, assign, transfer (including by operation of law), place a lien on, pledge, hypothecate, grant an option to purchase, distribute, dispose of or otherwise encumber any of its Subject Company Equity Securities or otherwise enter into any contract, option or other arrangement or undertaking to do any of the foregoing, (b) deposit any of its Subject Company Equity Securities into a voting trust or enter into a voting agreement or arrangement or grant any proxy or power of attorney with respect to any of its Subject Company Equity Securities that conflicts with any of the covenants or agreements set forth in this Agreement, (c) enter into any swap or other arrangement that transfers to another, in whole or in part, any of the economic consequences of ownership of any Subject Securities, (d) take any action that would have the effect of preventing or materially delaying the performance of its obligations hereunder or (e) publicly announce any intention to effect any transaction specified in clause (a) through (d).</w:t>
      </w:r>
    </w:p>
    <w:p>
      <w:pPr>
        <w:spacing w:after="0" w:line="19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1304"/>
        <w:spacing w:after="0" w:line="261" w:lineRule="auto"/>
        <w:tabs>
          <w:tab w:leader="none" w:pos="181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hereby agrees not to commence or participate in any claim, derivative or otherwise, against the Company, Parent or any of their respective Affiliates (i) challenging the validity of, or seeking to enjoin the operation of, any provision of this Agreement or (ii) alleging a breach of any fiduciary duty of the board of directors of the Company in connection with this Agreement, the Company Proposals, the Merger Agreement or the transactions contemplated thereby.</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8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acknowledges and agrees that the Company and Parent are entering into the Merger Agreement in reliance upon Holder entering into this Agreement and agreeing to be bound by, and perform, or otherwise comply with, as applicable, the agreements, covenants and obligations contained in this Agreement and but for Holder entering into this Agreement and agreeing to be bound by, and perform, or otherwise comply with, as applicable, the agreements, covenants and obligations contained in this Agreement the Company and Parent would not have entered into, or agreed to consummate the transactions contemplated by, the Merger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1" w:lineRule="auto"/>
        <w:tabs>
          <w:tab w:leader="none" w:pos="130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Holder represents and warrants to the Company and Parent as follows: (a) this Agreement has been duly executed and delivered by Holder and, assuming due authorization, execution and delivery by the other parties to this Agreement, this Agreement constitutes a legally valid and binding obligation of Holder, enforceable against Holder in accordance with the terms hereof (except as enforceability may be limited by bankruptcy Laws, other similar Laws affecting creditors’ rights and general principles of equity affecting the availability of specific performance and other equitable remedies); (b) the execution and delivery of this Agreement by Holder does not, and the performance by Holder of his, her or its obligations hereunder will not, (i) if Holder is not an individual, conflict with or result in a violation of the organizational documents of Holder or (ii) require any consent or approval that has not been given or other action that has not been taken by any Person (including under any contract binding upon Holder or Holder’s Subject Company Equity Securities), in each case, to the extent such consent, approval or other action would prevent, enjoin or materially delay the performance by Holder of its, his or her obligations under this Agreement; (c) Holder has not entered into, and shall not enter into or otherwise amend, any contract or other agreement that would result in the restriction, limitation or interference with the performance of Holder’s obligations hereunder; (d) Holder is the record and beneficial owner of all of its Subject Company Equity Securities, and there exist no Liens or any other limitation or restriction (including any restriction on the right to vote, sell or otherwise dispose of such securities), other than pursuant to (i) this Agreement, (ii) the Company Certificate of Incorporation, (iii) the Merger Agreement, (iv) that certain Voting Agreement, dated May 31, 2018, by and among the Company and the stockholders signatory thereto or (v) any applicable securities Laws; (e) Holder is sophisticated in financial matters and is able to evaluate the risks and benefits of holding its Subject Company Equity Securities; (f) Holder acknowledges that it has had the opportunity to review this Agreement and the transactions contemplated by this Agreement with Holder’s own legal counsel, investment and tax advisors; (g) Holder is not relying on any statements or representations of the Company or any of its representatives or agents for legal, tax or investment advice with respect to this Agreement or the transactions contemplated by the Merger Agreement; (h) there are no Actions pending against Holder or, to the knowledge of Holder, threatened against Holder, before (or, in the case of threatened Actions, that would be before) any Authority, which in any manner challenges or seeks to prevent, enjoin or materially delay the performance by Holder of Holder’s obligations under this Agreement; and (i) no broker, finder, investment banker or other Person is entitled to any brokerage fee, finders’ fee or other commission in connection with this Agreement or any of the respective transactions contemplated hereby, based upon arrangements made by Holder.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both"/>
        <w:ind w:firstLine="656"/>
        <w:spacing w:after="0" w:line="254" w:lineRule="auto"/>
        <w:tabs>
          <w:tab w:leader="none" w:pos="1359"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any notice or other action by any Party, and upon the earlier of (a) the Effective Time and (b) the termination of the Merger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shall not affect any liability on the part of any Party for a Willful Breach of any covenant or agreement set forth in this Agreement prior to such termination or Fraud, and</w:t>
      </w:r>
    </w:p>
    <w:p>
      <w:pPr>
        <w:spacing w:after="0" w:line="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shall each survive the termination of this Agreement.</w:t>
      </w:r>
    </w:p>
    <w:p>
      <w:pPr>
        <w:spacing w:after="0" w:line="206" w:lineRule="exact"/>
        <w:rPr>
          <w:rFonts w:ascii="Times New Roman" w:cs="Times New Roman" w:eastAsia="Times New Roman" w:hAnsi="Times New Roman"/>
          <w:sz w:val="18"/>
          <w:szCs w:val="18"/>
          <w:color w:val="auto"/>
        </w:rPr>
      </w:pPr>
    </w:p>
    <w:p>
      <w:pPr>
        <w:jc w:val="both"/>
        <w:ind w:firstLine="656"/>
        <w:spacing w:after="0" w:line="253" w:lineRule="auto"/>
        <w:tabs>
          <w:tab w:leader="none" w:pos="134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Except for claims pursuant to the Merger Agreement or any other Additional Agreement by any party(ies) thereto against any other party(ies) thereto,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any Affiliate of the Company or any Affiliate of Parent (other than Holder, on the terms and subject to the conditions set forth herein), and (b) none of the Affiliates of the Company or the Affiliates of Parent (other than Holder, on the terms and subject to the conditions set forth herein)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as expressly provided herein, or for any actual or alleged inaccuracies, misstatements or omissions with respect to any information or materials of any kind furnished in connection with this Agreement, the negotiation hereof or the transactions contemplated hereby.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ind w:left="1280" w:hanging="624"/>
        <w:spacing w:after="0"/>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5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(i) acknowledges that Parent and the Company may possess or have access to material non-public information which has not been communicated to Parent Shareholder; (ii) hereby waives any and all claims, whether at law, in equity or otherwise, that he, she, or it may now have or may hereafter acquire, whether presently known or unknown, against Parent or the Company or any of their respective officers, directors, employees, agents, affiliates, subsidiaries, successors or assigns relating to any failure to disclose any non-public information in connection with the transactions contemplated by this Agreement, including any such claims arising under the securities or other laws, rules and regulations, and (iii) is aware that Parent and the Company are relying on the foregoing acknowledgement and waiver in clauses (i) and (ii) above, respectively, in connection with the transactions contemplated by this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73"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has read the Final Prospectus of Parent, dated August 3, 2020 (the “</w:t>
      </w:r>
      <w:r>
        <w:rPr>
          <w:rFonts w:ascii="Times New Roman" w:cs="Times New Roman" w:eastAsia="Times New Roman" w:hAnsi="Times New Roman"/>
          <w:sz w:val="18"/>
          <w:szCs w:val="18"/>
          <w:u w:val="single" w:color="auto"/>
          <w:color w:val="auto"/>
        </w:rPr>
        <w:t>Parent Prospectus</w:t>
      </w:r>
      <w:r>
        <w:rPr>
          <w:rFonts w:ascii="Times New Roman" w:cs="Times New Roman" w:eastAsia="Times New Roman" w:hAnsi="Times New Roman"/>
          <w:sz w:val="18"/>
          <w:szCs w:val="18"/>
          <w:color w:val="auto"/>
        </w:rPr>
        <w:t>”), and understands that Parent has established a “trust account,” initially in an amount of at least $160.0 million for the benefit of the “public stockholders” and the underwriters of Parent’s initial public offering and that, except for (i) interest earned on the trust account that may be released to Parent to pay any taxes it incurs, and (ii) interest earned by the trust account that may be released to Parent from time to time to fund Parent’s working capital and general corporate requirements, proceeds in the trust account will not be released until (A) the consummation of a Business Combination (as defined in the Parent Prospectus) or (B) the dissolution and liquidation of Parent if it is unable to consummate a Business Combination within the allotted time. For and in consideration of Parent entering into this Agreement with Holder, each Parent Shareholder hereby agrees that it does not have any right, title, interest or claim of any kind in or to any monies in the trust account (other than in connection with redemption rights or the dissolution of Parent)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and hereby waives any Claim it may have in the future as a result of, or arising out of, any negotiations, contracts or agreements with Parent and will not seek recourse against the trust account for any reason whatsoever, other than in connection with redemption rights or the dissolution of Parent.</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partners or participants in a joint venture.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jc w:val="both"/>
        <w:ind w:left="-20" w:firstLine="656"/>
        <w:spacing w:after="0" w:line="261" w:lineRule="auto"/>
        <w:tabs>
          <w:tab w:leader="none" w:pos="160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xml:space="preserve">. Sections 1.2 (Construction), 12.2 (Amendments; No Waivers; Remedies), 12.6 (No Assignment or Delegation), 12.7 (Governing Law), 12.8 (Counterparts; Facsimile Signatures), 12.9 (Entire Agreement), 12.10 (Severability), 12.15 (Waiver of Jury Trial), 12.16 (Submission to Jurisdiction), and 12.18 (Remedies) of the Merger Agreement are incorporated herein by reference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caused this Agreement to be duly executed on its behalf as of the day and year first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written.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HEALTH SCIENCES ACQUISITIONS CORPORATION 2</w:t>
      </w:r>
    </w:p>
    <w:p>
      <w:pPr>
        <w:spacing w:after="0" w:line="22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1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33" w:right="499" w:bottom="1440" w:gutter="0" w:footer="0" w:header="0"/>
        </w:sectPr>
      </w:pPr>
    </w:p>
    <w:bookmarkStart w:id="105" w:name="page106"/>
    <w:bookmarkEnd w:id="105"/>
    <w:p>
      <w:pPr>
        <w:ind w:left="4520"/>
        <w:spacing w:after="0"/>
        <w:rPr>
          <w:sz w:val="20"/>
          <w:szCs w:val="20"/>
          <w:color w:val="auto"/>
        </w:rPr>
      </w:pPr>
      <w:r>
        <w:rPr>
          <w:rFonts w:ascii="Times New Roman" w:cs="Times New Roman" w:eastAsia="Times New Roman" w:hAnsi="Times New Roman"/>
          <w:sz w:val="18"/>
          <w:szCs w:val="18"/>
          <w:b w:val="1"/>
          <w:bCs w:val="1"/>
          <w:color w:val="auto"/>
        </w:rPr>
        <w:t>ORCHESTRA BIOMED, INC.</w:t>
      </w:r>
    </w:p>
    <w:p>
      <w:pPr>
        <w:spacing w:after="0" w:line="2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David Hochman</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Support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462915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6" w:name="page107"/>
    <w:bookmarkEnd w:id="106"/>
    <w:p>
      <w:pPr>
        <w:ind w:left="45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COVIDIEN GROUP S.À.R.L.</w:t>
      </w:r>
    </w:p>
    <w:p>
      <w:pPr>
        <w:spacing w:after="0" w:line="24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154305</wp:posOffset>
            </wp:positionV>
            <wp:extent cx="35572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154305</wp:posOffset>
            </wp:positionV>
            <wp:extent cx="35572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Series B-1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154305</wp:posOffset>
            </wp:positionV>
            <wp:extent cx="35572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Series D-1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154305</wp:posOffset>
            </wp:positionV>
            <wp:extent cx="35572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Series D-2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154305</wp:posOffset>
            </wp:positionV>
            <wp:extent cx="35572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154305</wp:posOffset>
            </wp:positionV>
            <wp:extent cx="35572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Support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462915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 Copy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SUPPORT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 ], 2022, is made by and among Health Sciences Acquisitions Corporation 2, a Cayman Islands exempted company (which shall deregister in the Cayman Islands and domesticate as a Delaware corporation prior to the Closing)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Orchestra BioMed,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holders of ordinary shares of Parent, par value $0.0001 per share (such shares, “</w:t>
      </w:r>
      <w:r>
        <w:rPr>
          <w:rFonts w:ascii="Times New Roman" w:cs="Times New Roman" w:eastAsia="Times New Roman" w:hAnsi="Times New Roman"/>
          <w:sz w:val="18"/>
          <w:szCs w:val="18"/>
          <w:u w:val="single" w:color="auto"/>
          <w:color w:val="auto"/>
        </w:rPr>
        <w:t>Parent Ordinary Shares</w:t>
      </w:r>
      <w:r>
        <w:rPr>
          <w:rFonts w:ascii="Times New Roman" w:cs="Times New Roman" w:eastAsia="Times New Roman" w:hAnsi="Times New Roman"/>
          <w:sz w:val="18"/>
          <w:szCs w:val="18"/>
          <w:color w:val="auto"/>
        </w:rPr>
        <w:t>” and the holders thereof, collectively, the “</w:t>
      </w:r>
      <w:r>
        <w:rPr>
          <w:rFonts w:ascii="Times New Roman" w:cs="Times New Roman" w:eastAsia="Times New Roman" w:hAnsi="Times New Roman"/>
          <w:sz w:val="18"/>
          <w:szCs w:val="18"/>
          <w:u w:val="single" w:color="auto"/>
          <w:color w:val="auto"/>
        </w:rPr>
        <w:t>Parent Shareholders</w:t>
      </w:r>
      <w:r>
        <w:rPr>
          <w:rFonts w:ascii="Times New Roman" w:cs="Times New Roman" w:eastAsia="Times New Roman" w:hAnsi="Times New Roman"/>
          <w:sz w:val="18"/>
          <w:szCs w:val="18"/>
          <w:color w:val="auto"/>
        </w:rPr>
        <w:t>”). Parent, the Company and the Parent Shareholders shall be referred to herein from time to time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such terms in the Merger Agreement (as defined below).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Parent, the Company and HSAC Olympus Merger Sub, Inc., a Delaware corporation and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shall enter into that certain Agreement and Plan of Merger, dated as of the date hereof (as it may be amended, restated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Parent Shareholders, including HSAC 2 Holdings,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are the record and beneficial owners of all of the issued and outstanding Parent Ordinary Shares set forth across from such shareholder’s name on the signature pages hereto;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Merger Agreement contemplates that the Parties will enter into this Agreement concurrently with the execution and delivery of the Merger Agreement by the parties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pacing w:after="0" w:line="162" w:lineRule="exact"/>
        <w:rPr>
          <w:sz w:val="20"/>
          <w:szCs w:val="20"/>
          <w:color w:val="auto"/>
        </w:rPr>
      </w:pPr>
    </w:p>
    <w:p>
      <w:pPr>
        <w:ind w:firstLine="656"/>
        <w:spacing w:after="0" w:line="252" w:lineRule="auto"/>
        <w:tabs>
          <w:tab w:leader="none" w:pos="132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Sponsor Agreement to Vote</w:t>
      </w:r>
      <w:r>
        <w:rPr>
          <w:rFonts w:ascii="Times New Roman" w:cs="Times New Roman" w:eastAsia="Times New Roman" w:hAnsi="Times New Roman"/>
          <w:sz w:val="18"/>
          <w:szCs w:val="18"/>
          <w:color w:val="auto"/>
        </w:rPr>
        <w:t>. The Sponsor hereby irrevocably and unconditionally agrees (a) to vote at any meeting of the shareholders of Parent (whether annual or special and whether or not an adjourned or postponed meeting however called and including any adjournment or postponement thereof), and in any action by written resolution of the shareholders of Parent, all of Sponsor’s Parent Ordinary Shares and any other equity securities of Parent that Sponsor holds of record or beneficially as of the date of this Agreement or acquires record or beneficial ownership after the date hereof, including any Parent Warrants or other securities convertible into or exercisable or exchangeable for Parent Ordinary Shares (collectively, the “</w:t>
      </w:r>
      <w:r>
        <w:rPr>
          <w:rFonts w:ascii="Times New Roman" w:cs="Times New Roman" w:eastAsia="Times New Roman" w:hAnsi="Times New Roman"/>
          <w:sz w:val="18"/>
          <w:szCs w:val="18"/>
          <w:u w:val="single" w:color="auto"/>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 Equity Securities</w:t>
      </w:r>
      <w:r>
        <w:rPr>
          <w:rFonts w:ascii="Times New Roman" w:cs="Times New Roman" w:eastAsia="Times New Roman" w:hAnsi="Times New Roman"/>
          <w:sz w:val="18"/>
          <w:szCs w:val="18"/>
          <w:color w:val="auto"/>
        </w:rPr>
        <w:t>”), (i) in favor of the Parent Proposals, (ii) in favor of any proposal to amend the Parent organizational documents to extend the period of time Parent is afforded under its organizational documents and its prospectus to consummate an initial business combination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xml:space="preserve">”) and (iii) against, and withhold consent with respect to, (A) any change in the business, management or board of directors of Parent (other than in connection with the Merger Agreement and the Transactions) and (B) any other matter, action or proposal that would reasonably be expected to (x) result in a breach of any of the Parent’s or Merger Sub’s covenants, agreements or obligations under the Merger Agreement, (y) result in any of the conditions to the Closing set forth in Section 10.1 or Section 10.3 of the Merger Agreement not being satisfied or (z) impede, frustrate, prevent or nullify any provision of this Agreement or the Merger Agreement or any of the transactions contemplated hereby or thereby, and (b) if a meeting is held in respect of the matters set forth in clause (a), to appear at the meeting, in person or by proxy, or otherwise cause all of Sponsor’s Subject Parent Equity Securities to be counted as present thereat for purposes of establishing a quorum. Prior to any valid termination of the Merger Agreement, Sponsor shall take, or cause to be taken, all actions and to do, or cause to be done, all things reasonably necessary under applicable Laws to consummate the Merger and the other Transactions and on the terms and subject to the conditions set forth therein. The obligations of Sponsor specified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apply whether or not the Merger, any of the Transactions or any action described above is recommend by Parent’s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ind w:left="-20" w:right="100" w:firstLine="656"/>
        <w:spacing w:after="0" w:line="253" w:lineRule="auto"/>
        <w:tabs>
          <w:tab w:leader="none" w:pos="130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2 Shareholder Agreement to Vote</w:t>
      </w:r>
      <w:r>
        <w:rPr>
          <w:rFonts w:ascii="Times New Roman" w:cs="Times New Roman" w:eastAsia="Times New Roman" w:hAnsi="Times New Roman"/>
          <w:sz w:val="18"/>
          <w:szCs w:val="18"/>
          <w:color w:val="auto"/>
        </w:rPr>
        <w:t xml:space="preserve">. Each Parent Shareholder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Schedule 2 Shareholder</w:t>
      </w:r>
      <w:r>
        <w:rPr>
          <w:rFonts w:ascii="Times New Roman" w:cs="Times New Roman" w:eastAsia="Times New Roman" w:hAnsi="Times New Roman"/>
          <w:sz w:val="18"/>
          <w:szCs w:val="18"/>
          <w:color w:val="auto"/>
        </w:rPr>
        <w:t xml:space="preserve">”) hereby irrevocably and unconditionally agrees (a) to vote at any meeting of the shareholders of Parent (whether annual or special and whether or not an adjourned or postponed meeting however called and including any adjournment or postponement thereof), and in any action by written resolution of the shareholders of Parent, all of such Schedule 2 Shareholder’s Subject Parent Equity Securities, (i) in favor of the Extension Proposal and (ii) against, and withhold consent with respect to, (A) any change in the business, management or board of directors of Parent (other than in connection with the Merger Agreement and the Transactions) and (B) any other matter, action or proposal that would reasonably be expected to (x) result in a breach of any of the Parent’s or Merger Sub’s covenants, agreements or obligations under the Merger Agreement, (y) result in any of the conditions to the Closing set forth in Section 10.1 or Section 10.3 of the Merger Agreement not being satisfied or (z) impede, frustrate, prevent or nullify any provision of this Agreement or the Merger Agreement or any of the transactions contemplated hereby or thereby, and (b) if a meeting is held in respect of the matters set forth in clause (a), to appear at the meeting, in person or by proxy, or otherwise cause all of such Schedule 2 Shareholder’s Subject Parent Equity Securities to be counted as present thereat for purposes of establishing a quorum. The obligations of each Schedule 2 Shareholder specified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apply whether or not the Merger, any of the Transactions or any action described above is recommend by Parent’s board of directors.</w:t>
      </w:r>
    </w:p>
    <w:p>
      <w:pPr>
        <w:spacing w:after="0" w:line="189" w:lineRule="exact"/>
        <w:rPr>
          <w:rFonts w:ascii="Times New Roman" w:cs="Times New Roman" w:eastAsia="Times New Roman" w:hAnsi="Times New Roman"/>
          <w:sz w:val="18"/>
          <w:szCs w:val="18"/>
          <w:color w:val="auto"/>
        </w:rPr>
      </w:pPr>
    </w:p>
    <w:p>
      <w:pPr>
        <w:jc w:val="both"/>
        <w:ind w:left="-20" w:right="220" w:firstLine="656"/>
        <w:spacing w:after="0" w:line="261" w:lineRule="auto"/>
        <w:tabs>
          <w:tab w:leader="none" w:pos="134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Non-Redemption.</w:t>
      </w:r>
      <w:r>
        <w:rPr>
          <w:rFonts w:ascii="Times New Roman" w:cs="Times New Roman" w:eastAsia="Times New Roman" w:hAnsi="Times New Roman"/>
          <w:sz w:val="18"/>
          <w:szCs w:val="18"/>
          <w:color w:val="auto"/>
        </w:rPr>
        <w:t xml:space="preserve"> Each Parent Shareholder hereby irrevocably and unconditionally agrees not to redeem, elect to redeem or tender or submit any of its Subject Parent Equity Securities for redemption in connection with such shareholder approval, the Merger, the Parent Proposals or any other transactions contemplated by the Merger Agreement or the Extension Proposal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and any attempt to redeem such Subject Parent Equity Securities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w:t>
      </w:r>
    </w:p>
    <w:p>
      <w:pPr>
        <w:spacing w:after="0" w:line="179" w:lineRule="exact"/>
        <w:rPr>
          <w:rFonts w:ascii="Times New Roman" w:cs="Times New Roman" w:eastAsia="Times New Roman" w:hAnsi="Times New Roman"/>
          <w:sz w:val="18"/>
          <w:szCs w:val="18"/>
          <w:color w:val="auto"/>
        </w:rPr>
      </w:pPr>
    </w:p>
    <w:p>
      <w:pPr>
        <w:jc w:val="both"/>
        <w:ind w:left="-20" w:firstLine="656"/>
        <w:spacing w:after="0" w:line="254" w:lineRule="auto"/>
        <w:tabs>
          <w:tab w:leader="none" w:pos="133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Each Parent Shareholder hereby agrees that it shall not (a) sell, assign, transfer (including by operation of law), place a lien on, pledge, hypothecate, grant an option to purchase, distribute, dispose of or otherwise encumber any of its Subject Parent Equity Securities or otherwise enter into any contract, option or other arrangement or undertaking to do any of the foregoing, (b) deposit any of its Subject Parent Equity Securities into a voting trust or enter into a voting agreement or arrangement or grant any proxy or power of attorney with respect to any of its Subject Parent Equity Securities that conflicts with any of the covenants or agreements set forth in this Agreement, (c) enter into any swap or other arrangement that transfers to another, in whole or in part, any of the economic consequences of ownership of any Subject Securities, (d) take any action that would have the effect of preventing or materially delaying the performance of its obligations hereunder or (e) publicly announce any intention to effect any transaction specified in clause (a) through (d).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09" w:name="page110"/>
    <w:bookmarkEnd w:id="109"/>
    <w:p>
      <w:pPr>
        <w:jc w:val="both"/>
        <w:ind w:firstLine="656"/>
        <w:spacing w:after="0" w:line="261" w:lineRule="auto"/>
        <w:tabs>
          <w:tab w:leader="none" w:pos="151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Anti-Dilution Rights</w:t>
      </w:r>
      <w:r>
        <w:rPr>
          <w:rFonts w:ascii="Times New Roman" w:cs="Times New Roman" w:eastAsia="Times New Roman" w:hAnsi="Times New Roman"/>
          <w:sz w:val="18"/>
          <w:szCs w:val="18"/>
          <w:color w:val="auto"/>
        </w:rPr>
        <w:t>. Each Parent Shareholder hereby waives any and all anti-dilution or similar rights (if any) that may otherwise be available under the Parent Organizational Documents, applicable Law or pursuant to any contract or other agreement between or among such Parent Shareholder or any Affiliate of such Parent Shareholder (other than Parent or any of its Subsidiaries), on the one hand, and Parent or any of Parent’s Subsidiaries, on the other hand, with respect to the Transactions and that it shall not take any action in furtherance of exercising any such rights.</w:t>
      </w:r>
    </w:p>
    <w:p>
      <w:pPr>
        <w:spacing w:after="0" w:line="179"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70" w:lineRule="auto"/>
        <w:tabs>
          <w:tab w:leader="none" w:pos="197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and contingent upon the Effective Time, upon receipt thereof, 1,000,000 Domesticated Parent Common Shares (the “</w:t>
      </w:r>
      <w:r>
        <w:rPr>
          <w:rFonts w:ascii="Times New Roman" w:cs="Times New Roman" w:eastAsia="Times New Roman" w:hAnsi="Times New Roman"/>
          <w:sz w:val="18"/>
          <w:szCs w:val="18"/>
          <w:u w:val="single" w:color="auto"/>
          <w:color w:val="auto"/>
        </w:rPr>
        <w:t>Vesting Shares</w:t>
      </w:r>
      <w:r>
        <w:rPr>
          <w:rFonts w:ascii="Times New Roman" w:cs="Times New Roman" w:eastAsia="Times New Roman" w:hAnsi="Times New Roman"/>
          <w:sz w:val="18"/>
          <w:szCs w:val="18"/>
          <w:color w:val="auto"/>
        </w:rPr>
        <w:t>”) received by the Sponsor shall be deemed unvested and be irrevocably forfeited and surrendered to Parent for no consideration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Business Day following the expiration of the Earnout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w:t>
      </w:r>
    </w:p>
    <w:p>
      <w:pPr>
        <w:spacing w:after="0" w:line="23" w:lineRule="exact"/>
        <w:rPr>
          <w:rFonts w:ascii="Times New Roman" w:cs="Times New Roman" w:eastAsia="Times New Roman" w:hAnsi="Times New Roman"/>
          <w:sz w:val="18"/>
          <w:szCs w:val="18"/>
          <w:color w:val="auto"/>
        </w:rPr>
      </w:pPr>
    </w:p>
    <w:p>
      <w:pPr>
        <w:ind w:firstLine="1952"/>
        <w:spacing w:after="0" w:line="282" w:lineRule="auto"/>
        <w:tabs>
          <w:tab w:leader="none" w:pos="2564"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500,000 Vesting Shares shall be deemed to have vested and shall cease to be subject to forfeiture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upon the occurrence (or deemed occurrence pursuant to Section 4.7(c) of the Merger Agreement) of the Initial Milestone Event; and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557"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500,000 Vesting Shares shall be deemed to have vested and shall cease to be subject to forfeiture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upon the occurrence (or deemed occurrence pursuant to Section 4.7(c) of the Merger Agreement) of the Final Milestone Event.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5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registered holder(s) of any Vesting Shares that remain unvested as of any time prior to the expiration of the Earnout Period shall be entitled to all of the rights of ownership thereof, including the right to vote and receive dividends and other distributions in respect of such Vesting Shares. Notwithstanding the foregoing, to the extent that any dividends or other distributions are paid in cash in respect of any Vesting Shares that have not vested in accordance with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such dividends and distributions shall be set aside by and paid to the holder(s) thereof as promptly as reasonably practicable following the vesting of such Vesting Shares (if at all).</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6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shall not with respect to any of its Vesting Shares that remain unvested (i) sell, assign, transfer (including by operation of law), place a lien on, pledge, hypothecate, grant an option to purchase, distribute, dispose of such shares, (ii) enter into any swap or other arrangement that transfers to another, in whole or in part, any of the economic consequences of ownership of such shares or (iii) otherwise encumber enter into any contract, option or other arrangement or undertaking to do any of the foregoing.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jc w:val="both"/>
        <w:ind w:firstLine="1304"/>
        <w:spacing w:after="0" w:line="261" w:lineRule="auto"/>
        <w:tabs>
          <w:tab w:leader="none" w:pos="187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or book entries representing unvested Vesting Shares shall bear a legend referencing that they are subject to forfeiture and restrictions on transfer pursuant to the provisions of this Agreement, and any transfer agent for Parent will be given appropriate stop transfer orders with respect to such unvested Vesting Shares. Upon vesting of the applicable Vesting Shares, Parent shall take all actions necessary to cause such legends to be removed.</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1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Parent shall at any time during the Earnout Period pay any dividend on Domesticated Parent Common Shares by the issuance of additional Domesticated Parent Common Shares, or effect a subdivision or combination or consolidation of the outstanding Domesticated Parent Common Shares (by reclassification or otherwise) into a greater or lesser number of Domesticated Parent Common Shares, then, in each such case, the number of Vesting Shares that remain unvested shall be adjusted by multiplying such amount by a fraction, the numerator of which is the number of Domesticated Parent Common Shares (including any other shares so reclassified as Domesticated Parent Common Shares) outstanding immediately after such event and the denominator of which is the number of Domesticated Parent Common Shares that were outstanding immediately prior to such event.</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51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Warrants</w:t>
      </w:r>
      <w:r>
        <w:rPr>
          <w:rFonts w:ascii="Times New Roman" w:cs="Times New Roman" w:eastAsia="Times New Roman" w:hAnsi="Times New Roman"/>
          <w:sz w:val="18"/>
          <w:szCs w:val="18"/>
          <w:color w:val="auto"/>
        </w:rPr>
        <w:t>. The Sponsor hereby agrees that, subject to and contingent upon the Closing, automatically and without any further action by any other Person, the Sponsor shall forfeit a number of Parent Warrants equal to fifty percent (50%) of all Parent Warrants held by the Sponsor immediately prior to Closing, and all such Parent Warrants shall be cancelled and forfeited for no consideration and shall cease to exist. As soon as reasonably practicable following the Closing, in respect of such forfeiture, Parent shall take all actions necessary to issue an equal number of Domesticated Parent Warrants having substantially similar terms to the Parent Warrants forfeited pursuant to the preceding sentence to employees of Parent or its Subsidiaries.</w:t>
      </w:r>
    </w:p>
    <w:p>
      <w:pPr>
        <w:spacing w:after="0" w:line="187"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1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Shareholder agrees not to, directly or indirectly, take any action, or authorize or knowingly permit any of its Affiliates or representatives to take any action on its behalf, that would be a breach of Sections 7.2 (Exclusivity) or 12.4 (Publicity) of the Merger Agreement if such action were taken by Parent.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3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Shareholder hereby agrees not to commence or participate in any claim, derivative or otherwise, against the Company, Parent or any of their respective Affiliates (i) challenging the validity of, or seeking to enjoin the operation of, any provision of this Agreement or (ii) alleging a breach of any fiduciary duty of the board of directors of Parent in connection with this Agreement, the Parent Shareholder Approval Matters, the Merger Agreement or the transactions contemplated thereby.</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81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each Parent Shareholder set forth on Schedule A to the Registration Rights Agreement shall deliver to Parent and the Company a duly executed copy of the Registration Rights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9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Shareholder shall comply with, and fully perform all of its obligations, covenants and agreements set forth in, that certain Letter Agreement, dated as of August 3, 2020, with Parent to which it is a party.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jc w:val="both"/>
        <w:spacing w:after="0" w:line="258" w:lineRule="auto"/>
        <w:rPr>
          <w:sz w:val="20"/>
          <w:szCs w:val="20"/>
          <w:color w:val="auto"/>
        </w:rPr>
      </w:pPr>
      <w:r>
        <w:rPr>
          <w:rFonts w:ascii="Times New Roman" w:cs="Times New Roman" w:eastAsia="Times New Roman" w:hAnsi="Times New Roman"/>
          <w:sz w:val="18"/>
          <w:szCs w:val="18"/>
          <w:color w:val="auto"/>
        </w:rPr>
        <w:t>Each Parent Shareholder acknowledges and agrees that the Company and Parent are entering into the Merger Agreement in reliance upon such Parent Shareholder entering into this Agreement and agreeing to be bound by, and perform, or otherwise comply with, as applicable, the agreements, covenants and obligations contained in this Agreement and but for such Parent Shareholder entering into this Agreement and agreeing to be bound by, and perform, or otherwise comply with, as applicable, the agreements, covenants and obligations contained in this Agreement the Company and Parent would not have entered into, or agreed to consummate the transactions contemplated by, the Merger Agreement.</w:t>
      </w:r>
    </w:p>
    <w:p>
      <w:pPr>
        <w:spacing w:after="0" w:line="183" w:lineRule="exact"/>
        <w:rPr>
          <w:sz w:val="20"/>
          <w:szCs w:val="20"/>
          <w:color w:val="auto"/>
        </w:rPr>
      </w:pPr>
    </w:p>
    <w:p>
      <w:pPr>
        <w:jc w:val="both"/>
        <w:ind w:firstLine="656"/>
        <w:spacing w:after="0" w:line="251" w:lineRule="auto"/>
        <w:tabs>
          <w:tab w:leader="none" w:pos="113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Parent Shareholder represents and warrants to the Company as follows: (a) this Agreement has been duly executed and delivered by such Parent Shareholder and, assuming due authorization, execution and delivery by the other parties to this Agreement, this Agreement constitutes a legally valid and binding obligation of such Parent Shareholder, enforceable against such Parent Shareholder in accordance with the terms hereof (except as enforceability may be limited by bankruptcy Laws, other similar Laws affecting creditors’ rights and general principles of equity affecting the availability of specific performance and other equitable remedies); (b) the execution and delivery of this Agreement by such Parent Shareholder does not, and the performance by such Parent Shareholder of his, her or its obligations hereunder will not, (i) if such Parent Shareholder is not an individual, conflict with or result in a violation of the organizational documents of such Parent Shareholder or (ii) require any consent or approval that has not been given or other action that has not been taken by any Person (including under any contract binding upon such Parent Shareholder or such Parent Shareholder’s Subject Parent Equity Securities), in each case, to the extent such consent, approval or other action would prevent, enjoin or materially delay the performance by such Sponsor of its, his or her obligations under this Agreement; (c) such Parent Shareholder has not entered into, and shall not enter into or otherwise amend, any contract or other agreement that would result in the restriction, limitation or interference with the performance of such Parent Shareholder’s obligations hereunder; (d) such Parent Shareholder is the record and beneficial owner of all of its Subject Parent Equity Securities, and there exist no Liens or any other limitation or restriction (including any restriction on the right to vote, sell or otherwise dispose of such securities), other than pursuant to (i) this Agreement, (ii) the Parent Organizational Documents, (iii) the Merger Agreement, or (iv) any applicable securities Laws; (e) such Parent Shareholder is sophisticated in financial matters and is able to evaluate the risks and benefits of holding its Subject Parent Equity Securities; (f) such Parent Shareholder, in making the decision to not redeem its Subject Parent Equity Securities, has not relied upon any oral or written representations or assurances from Parent or any of its officers, directors or employees or any other representatives or agents of Parent other than as set forth in this Agreement and such Parent Shareholder has had access to all of the filings made by Parent with the SEC; (g) such Parent Shareholder acknowledges that it has had the opportunity to review this Agreement and the transactions contemplated by this Agreement with such Parent Shareholder’s own legal counsel, investment and tax advisors; (h) such Parent Shareholder is not relying on any statements or representations of Parent or any of its representatives or agents for legal, tax or investment advice with respect to this Agreement or the transactions contemplated by the Merger Agreement; (i) there are no Actions pending against such Parent Shareholder or, to the knowledge of such Parent Shareholder, threatened against such Parent Shareholder, before (or, in the case of threatened Actions, that would be before) any Authority, which in any manner challenges or seeks to prevent, enjoin or materially delay the performance by such Parent Shareholder of such Parent Shareholder’s obligations under this Agreement; (j) no broker, finder, investment banker or other Person is entitled to any brokerage fee, finders’ fee or other commission in connection with this Agreement or any of the respective transactions contemplated hereby, based upon arrangements made by the Parent Shareholder; and (k) except as set forth on </w:t>
      </w:r>
      <w:r>
        <w:rPr>
          <w:rFonts w:ascii="Times New Roman" w:cs="Times New Roman" w:eastAsia="Times New Roman" w:hAnsi="Times New Roman"/>
          <w:sz w:val="18"/>
          <w:szCs w:val="18"/>
          <w:u w:val="single" w:color="auto"/>
          <w:color w:val="auto"/>
        </w:rPr>
        <w:t>Schedule 9(k)</w:t>
      </w:r>
      <w:r>
        <w:rPr>
          <w:rFonts w:ascii="Times New Roman" w:cs="Times New Roman" w:eastAsia="Times New Roman" w:hAnsi="Times New Roman"/>
          <w:sz w:val="18"/>
          <w:szCs w:val="18"/>
          <w:color w:val="auto"/>
        </w:rPr>
        <w:t xml:space="preserve"> hereto, such Parent Shareholder nor, to the knowledge of such Parent Shareholder, anyone related by blood, marriage or adoption to such Parent Shareholder or any Person in which such Parent Shareholder has a direct or indirect legal, contractual or beneficial ownership of 5% or more is party to, or has any rights with respect to or arising from, any contract or other agreement with Parent or its Subsidiaries.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jc w:val="both"/>
        <w:ind w:firstLine="656"/>
        <w:spacing w:after="0" w:line="254" w:lineRule="auto"/>
        <w:tabs>
          <w:tab w:leader="none" w:pos="139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any notice or other action by any Party, and upon the earlier of (a) the Effective Time and (b) the termination of the Merger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 xml:space="preserve"> shall not affect any liability on the part of any Party for a Willful Breach of any covenant or agreement set forth in this Agreement prior to such termination or Fraud, and</w:t>
      </w:r>
    </w:p>
    <w:p>
      <w:pPr>
        <w:spacing w:after="0" w:line="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11, 12, 13 and 14 shall each survive the termination of this Agreement.</w:t>
      </w:r>
    </w:p>
    <w:p>
      <w:pPr>
        <w:spacing w:after="0" w:line="206" w:lineRule="exact"/>
        <w:rPr>
          <w:rFonts w:ascii="Times New Roman" w:cs="Times New Roman" w:eastAsia="Times New Roman" w:hAnsi="Times New Roman"/>
          <w:sz w:val="18"/>
          <w:szCs w:val="18"/>
          <w:color w:val="auto"/>
        </w:rPr>
      </w:pPr>
    </w:p>
    <w:p>
      <w:pPr>
        <w:jc w:val="both"/>
        <w:ind w:firstLine="656"/>
        <w:spacing w:after="0" w:line="253" w:lineRule="auto"/>
        <w:tabs>
          <w:tab w:leader="none" w:pos="137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Except for claims pursuant to the Merger Agreement or any other Additional Agreement by any party(ies) thereto against any other party(ies) thereto,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any Affiliate of the Company or any Affiliate of Parent (other than the Parent Shareholders, on the terms and subject to the conditions set forth herein), and (b) none of the Affiliates of the Company or the Affiliates of Parent (other than the Parent Shareholders, on the terms and subject to the conditions set forth herein)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as expressly provided herein, or for any actual or alleged inaccuracies, misstatements or omissions with respect to any information or materials of any kind furnished in connection with this Agreement, the negotiation hereof or the transactions contemplated hereby.</w:t>
      </w:r>
    </w:p>
    <w:p>
      <w:pPr>
        <w:spacing w:after="0" w:line="194"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70"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Shareholder (i) acknowledges that Parent and the Company may possess or have access to material non-public information which has not been communicated to Parent Shareholder; (ii) hereby waives any and all claims, whether at law, in equity or otherwise, that he, she, or it may now have or may hereafter acquire, whether presently known or unknown, against Parent or the Company or any of their respective officers, directors, employees, agents, affiliates, subsidiaries, successors or assigns relating to any failure to disclose any non-public information in connection with the transactions contemplated by this Agreement, including any such claims arising under the securities or other laws, rules and regulations, and (iii) is aware that Parent and the Company are relying on the foregoing acknowledgement and waiver in clauses (i) and (ii) above, respectively, in connection with the transactions contemplated by this Agreement.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both"/>
        <w:ind w:firstLine="1304"/>
        <w:spacing w:after="0" w:line="253" w:lineRule="auto"/>
        <w:tabs>
          <w:tab w:leader="none" w:pos="182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Shareholder has read the Final Prospectus of Parent, dated August 3, 2020 (the “</w:t>
      </w:r>
      <w:r>
        <w:rPr>
          <w:rFonts w:ascii="Times New Roman" w:cs="Times New Roman" w:eastAsia="Times New Roman" w:hAnsi="Times New Roman"/>
          <w:sz w:val="18"/>
          <w:szCs w:val="18"/>
          <w:u w:val="single" w:color="auto"/>
          <w:color w:val="auto"/>
        </w:rPr>
        <w:t>Parent Prospectus</w:t>
      </w:r>
      <w:r>
        <w:rPr>
          <w:rFonts w:ascii="Times New Roman" w:cs="Times New Roman" w:eastAsia="Times New Roman" w:hAnsi="Times New Roman"/>
          <w:sz w:val="18"/>
          <w:szCs w:val="18"/>
          <w:color w:val="auto"/>
        </w:rPr>
        <w:t>”), and understands that Parent has established a “trust account,” initially in an amount of at least $160.0 million for the benefit of the “public stockholders” and the underwriters of Parent’s initial public offering and that, except for (i) interest earned on the trust account that may be released to Parent to pay any taxes it incurs, and (ii) interest earned by the trust account that may be released to Parent from time to time to fund Parent’s working capital and general corporate requirements, proceeds in the trust account will not be released until (A) the consummation of a Business Combination (as defined in the Parent Prospectus) or (B) the dissolution and liquidation of Parent if it is unable to consummate a Business Combination within the allotted time. For and in consideration of Parent entering into this Agreement with the Parent Shareholders, each Parent Shareholder hereby agrees that it does not have any right, title, interest or claim of any kind in or to any monies in the trust account (other than in connection with redemption rights or the dissolution of Parent)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and hereby waives any Claim it may have in the future as a result of, or arising out of, any negotiations, contracts or agreements with Parent and will not seek recourse against the trust account for any reason whatsoever, other than in connection with redemption rights or the dissolution of Parent.</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147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(other than Section 8(a)), (a) each Parent Shareholder makes no agreement or understanding herein in any capacity other than in its capacity as a record holder and beneficial owner of the Subject Parent Equity Securities and (b) nothing herein will be construed to limit or affect any action or inaction by any representative of the Sponsor in its capacity as a member of the board of directors (or other similar governing body) of Parent or any of its Affiliates or as an officer, employee or fiduciary of Parent or any of its Affiliates, in each case, acting in such person’s capacity as a director, officer, employee or fiduciary of Parent or such Affiliate.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40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partners or participants in a joint venture.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63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xml:space="preserve">. Sections 1.2 (Construction), 12.2 (Amendments; No Waivers; Remedies), 12.6 (No Assignment or Delegation), 12.7 (Governing Law), 12.8 (Counterparts; Facsimile Signatures), 12.9 (Entire Agreement), 12.10 (Severability), 12.15 (Waiver of Jury Trial), 12.16 (Submission to Jurisdiction), and 12.18 (Remedies) of the Merger Agreement are incorporated herein by reference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caused this Agreement to be duly executed on its behalf as of the day and year first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written.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HEALTH SCIENCES ACQUISITIONS CORPORATION 2</w:t>
      </w: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4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115" w:name="page116"/>
    <w:bookmarkEnd w:id="115"/>
    <w:p>
      <w:pPr>
        <w:ind w:left="4520"/>
        <w:spacing w:after="0"/>
        <w:rPr>
          <w:sz w:val="20"/>
          <w:szCs w:val="20"/>
          <w:color w:val="auto"/>
        </w:rPr>
      </w:pPr>
      <w:r>
        <w:rPr>
          <w:rFonts w:ascii="Times New Roman" w:cs="Times New Roman" w:eastAsia="Times New Roman" w:hAnsi="Times New Roman"/>
          <w:sz w:val="17"/>
          <w:szCs w:val="17"/>
          <w:b w:val="1"/>
          <w:bCs w:val="1"/>
          <w:color w:val="auto"/>
        </w:rPr>
        <w:t>ORCHESTRA BIOMED, INC.</w:t>
      </w:r>
    </w:p>
    <w:p>
      <w:pPr>
        <w:spacing w:after="0" w:line="26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450215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6" w:name="page117"/>
    <w:bookmarkEnd w:id="116"/>
    <w:p>
      <w:pPr>
        <w:ind w:left="4520"/>
        <w:spacing w:after="0"/>
        <w:rPr>
          <w:sz w:val="20"/>
          <w:szCs w:val="20"/>
          <w:color w:val="auto"/>
        </w:rPr>
      </w:pPr>
      <w:r>
        <w:rPr>
          <w:rFonts w:ascii="Times New Roman" w:cs="Times New Roman" w:eastAsia="Times New Roman" w:hAnsi="Times New Roman"/>
          <w:sz w:val="17"/>
          <w:szCs w:val="17"/>
          <w:b w:val="1"/>
          <w:bCs w:val="1"/>
          <w:color w:val="auto"/>
        </w:rPr>
        <w:t>PARENT SHAREHOLDERS</w:t>
      </w:r>
    </w:p>
    <w:p>
      <w:pPr>
        <w:spacing w:after="0" w:line="26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HSAC 2 HOLDINGS, LLC</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24765</wp:posOffset>
            </wp:positionV>
            <wp:extent cx="33515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Alice Lee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4,360,956 Ordinary Shares</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Alice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10,000 Ordinary Shares</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Stephanie A. Sirota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20,000 Ordinary Shares</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Pedro Granadillo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22,261 Ordinary Shares</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Stuart Peltz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22,261 Ordinary Shares</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Brophy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22,261 Ordinary Shares</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Carsten Boess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22,261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7" w:name="page118"/>
    <w:bookmarkEnd w:id="117"/>
    <w:p>
      <w:pPr>
        <w:jc w:val="right"/>
        <w:ind w:right="4099"/>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Alice Lee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A. Sirota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Pedro Granadillo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Stuart Peltz</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Brophy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Carsten Boess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18" w:name="page119"/>
    <w:bookmarkEnd w:id="118"/>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9(k)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Services Agreement dated August 3, 2020 between HSAC 2 Holdings, LLC and Health Sciences Acquisitions Corporation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320" w:top="117" w:right="14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AND LOCK-UP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AMENDED AND RESTATED REGISTRATION RIGHTS AND LOCK-UP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2022, is made and entered into by and among, (i) Health Sciences Acquisitions Corporation 2,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(ii) the equityholders designated as Sponsor Equityholders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b w:val="1"/>
          <w:bCs w:val="1"/>
          <w:i w:val="1"/>
          <w:iCs w:val="1"/>
          <w:color w:val="auto"/>
        </w:rPr>
        <w:t>Sponsor Equityholders</w:t>
      </w:r>
      <w:r>
        <w:rPr>
          <w:rFonts w:ascii="Times New Roman" w:cs="Times New Roman" w:eastAsia="Times New Roman" w:hAnsi="Times New Roman"/>
          <w:sz w:val="18"/>
          <w:szCs w:val="18"/>
          <w:color w:val="auto"/>
        </w:rPr>
        <w:t xml:space="preserve">”); and (iii) certain stockholders of Orchestra BioMed, Inc. designated as Legacy Orchestra Equityholders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Legacy Orchestra Equityholders</w:t>
      </w:r>
      <w:r>
        <w:rPr>
          <w:rFonts w:ascii="Times New Roman" w:cs="Times New Roman" w:eastAsia="Times New Roman" w:hAnsi="Times New Roman"/>
          <w:sz w:val="18"/>
          <w:szCs w:val="18"/>
          <w:color w:val="auto"/>
        </w:rPr>
        <w:t>” and, together with the Sponsor Equityholders and any person or entity who hereafter becomes a party to this Agreement pursuant to Section 6.2 of this Agreement,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Capitalized terms used but not otherwise defined in this Agreement shall have the meanings ascribed to such terms in the Merger Agreement (as defined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Sponsor Equityholders are parties to that certain Registration Rights Agreement, entered into as of August 3, 2020 (the “</w:t>
      </w:r>
      <w:r>
        <w:rPr>
          <w:rFonts w:ascii="Times New Roman" w:cs="Times New Roman" w:eastAsia="Times New Roman" w:hAnsi="Times New Roman"/>
          <w:sz w:val="18"/>
          <w:szCs w:val="18"/>
          <w:b w:val="1"/>
          <w:bCs w:val="1"/>
          <w:i w:val="1"/>
          <w:iCs w:val="1"/>
          <w:color w:val="auto"/>
        </w:rPr>
        <w:t>Prior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WHEREAS, the Company, HSAC Olympus Merger Sub, Inc., a Delaware corporation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Orchestra BioMed, Inc., a Delaware corporation (“</w:t>
      </w:r>
      <w:r>
        <w:rPr>
          <w:rFonts w:ascii="Times New Roman" w:cs="Times New Roman" w:eastAsia="Times New Roman" w:hAnsi="Times New Roman"/>
          <w:sz w:val="18"/>
          <w:szCs w:val="18"/>
          <w:b w:val="1"/>
          <w:bCs w:val="1"/>
          <w:i w:val="1"/>
          <w:iCs w:val="1"/>
          <w:color w:val="auto"/>
        </w:rPr>
        <w:t>Legacy Orchestra</w:t>
      </w:r>
      <w:r>
        <w:rPr>
          <w:rFonts w:ascii="Times New Roman" w:cs="Times New Roman" w:eastAsia="Times New Roman" w:hAnsi="Times New Roman"/>
          <w:sz w:val="18"/>
          <w:szCs w:val="18"/>
          <w:color w:val="auto"/>
        </w:rPr>
        <w:t>”), are party to that certain Agreement and Plan of Merger, dated as of [●], 2022 (as amended or restated from time to time,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pursuant to which the Company changed its jurisdiction of incorporation from the Cayman Islands to the State of Delaware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and on the date hereof: (a) Merger Sub will merge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and into Legacy Orchestra, with Legacy Orchestra surviving the Merger as a wholly owned subsidiary of the Company, and (b) the Company will change its name to “Orchestra BioMed, Inc.”;</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Legacy Orchestra Equityholders and the Sponsor Equityholders are receiving shares of Common Stock, par value $0.0001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on or about the date hereof, pursuant to the Merger Agreement (the “</w:t>
      </w:r>
      <w:r>
        <w:rPr>
          <w:rFonts w:ascii="Times New Roman" w:cs="Times New Roman" w:eastAsia="Times New Roman" w:hAnsi="Times New Roman"/>
          <w:sz w:val="18"/>
          <w:szCs w:val="18"/>
          <w:b w:val="1"/>
          <w:bCs w:val="1"/>
          <w:i w:val="1"/>
          <w:iCs w:val="1"/>
          <w:color w:val="auto"/>
        </w:rPr>
        <w:t>Merger 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in connection with the consummation of the Merger, the parties to the Prior Agreement desire to amend and restate the Prior Agreement in its entirety as set forth herein, and the parties hereto desire to enter into this Agreement pursuant to which the Company shall grant the Holders certain registration rights with respect to the Registrable Securities (as defined below) on the terms and conditions set forth in this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6.7 of the Prior Agreement, no amendment, modification or termination of the Prior Agreement shall be binding upon any party unless executed in writing by such party; and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all of the parties to the Prior Agreement desire to amend and restate the Prior Agreement in its entirety and enter into this Agreement, pursuant to which the Company shall grant the Holders certain registration rights with respect to certain securities of the Company, as set forth in this Agreement, effective as of the Closing.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The terms defined in this Article I shall, for all purposes of this Agreement, have the respective meanings set forth below:</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shall mean any public disclosure of material non-public information, which disclosure, in the good faith judgment of the Chief Executive Officer or Chief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Backstop Agreement</w:t>
      </w:r>
      <w:r>
        <w:rPr>
          <w:rFonts w:ascii="Times New Roman" w:cs="Times New Roman" w:eastAsia="Times New Roman" w:hAnsi="Times New Roman"/>
          <w:sz w:val="18"/>
          <w:szCs w:val="18"/>
          <w:color w:val="auto"/>
        </w:rPr>
        <w:t>” shall mean that certain Backstop Agreement, dated as of [•], 2022 by and among the Company, Orchestra BioMed,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purchasing parties signatory thereto.</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Block Trade</w:t>
      </w:r>
      <w:r>
        <w:rPr>
          <w:rFonts w:ascii="Times New Roman" w:cs="Times New Roman" w:eastAsia="Times New Roman" w:hAnsi="Times New Roman"/>
          <w:sz w:val="18"/>
          <w:szCs w:val="18"/>
          <w:color w:val="auto"/>
        </w:rPr>
        <w:t>” shall mean an offering and/or sale of Registrable Securities by any Holder on a block trade or underwritten or other coordinated basis (whether firm commitment or otherwise) without substantial marketing efforts prior to pricing, including, without limitation, a same day trade, overnight trade or similar transaction.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mean any transfer (whether by tender offer, merger, stock purchase, consolidation or other similar transaction), in one transaction or a series of related transactions, to a person or group of affiliated persons of the Company’s voting securities if, after such transfer, such person or group of affiliated persons would hold more than 50% of outstanding voting securities of the Company (or surviving entity) or would otherwise have the power to control the Board or to direct the operations of the Company.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Commitment Shares</w:t>
      </w:r>
      <w:r>
        <w:rPr>
          <w:rFonts w:ascii="Times New Roman" w:cs="Times New Roman" w:eastAsia="Times New Roman" w:hAnsi="Times New Roman"/>
          <w:sz w:val="18"/>
          <w:szCs w:val="18"/>
          <w:color w:val="auto"/>
        </w:rPr>
        <w:t>” shall mean any shares of Common Stock that the Sponsor Equityholders or their respective designees receive in connection with the Domestication or the Closing, including as a result of purchases contemplated by the Sponsor Forward Purchase Agreement (as defined below), the Backstop Agreement, and any other Additional Agreement or any ancillary agreements with Orchestra BioMed, Inc. which designate such shares as Commitment Shares under this Agreement.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Covidien Forward Purchase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mean any shares of Common Stock that Covidien Group or its designees receive in connection with the Domestication as a result of purchases contemplated by the Covidien Forward Purchase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Election Agreement</w:t>
      </w:r>
      <w:r>
        <w:rPr>
          <w:rFonts w:ascii="Times New Roman" w:cs="Times New Roman" w:eastAsia="Times New Roman" w:hAnsi="Times New Roman"/>
          <w:sz w:val="18"/>
          <w:szCs w:val="18"/>
          <w:color w:val="auto"/>
        </w:rPr>
        <w:t>” shall have the meaning given in the Merger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color w:val="auto"/>
        </w:rPr>
        <w:t>” shall have the meaning given in the Merger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Forward Purchase Agreements</w:t>
      </w:r>
      <w:r>
        <w:rPr>
          <w:rFonts w:ascii="Times New Roman" w:cs="Times New Roman" w:eastAsia="Times New Roman" w:hAnsi="Times New Roman"/>
          <w:sz w:val="18"/>
          <w:szCs w:val="18"/>
          <w:color w:val="auto"/>
        </w:rPr>
        <w:t>” shall mean, collectively, that certain Forward Purchase Agreement by and among the Company, Orchestra BioMed, Inc., and certain funds managed by RTW Investments, LP as Purchasing Parties (the “</w:t>
      </w:r>
      <w:r>
        <w:rPr>
          <w:rFonts w:ascii="Times New Roman" w:cs="Times New Roman" w:eastAsia="Times New Roman" w:hAnsi="Times New Roman"/>
          <w:sz w:val="18"/>
          <w:szCs w:val="18"/>
          <w:b w:val="1"/>
          <w:bCs w:val="1"/>
          <w:i w:val="1"/>
          <w:iCs w:val="1"/>
          <w:color w:val="auto"/>
        </w:rPr>
        <w:t>Sponsor Forward Purchase Agreement</w:t>
      </w:r>
      <w:r>
        <w:rPr>
          <w:rFonts w:ascii="Times New Roman" w:cs="Times New Roman" w:eastAsia="Times New Roman" w:hAnsi="Times New Roman"/>
          <w:sz w:val="18"/>
          <w:szCs w:val="18"/>
          <w:color w:val="auto"/>
        </w:rPr>
        <w:t>”), and that certain Forward Purchase Agreement by and among the Company, Orchestra BioMed, Inc., and Covidien Group S.à.r.l. (“</w:t>
      </w:r>
      <w:r>
        <w:rPr>
          <w:rFonts w:ascii="Times New Roman" w:cs="Times New Roman" w:eastAsia="Times New Roman" w:hAnsi="Times New Roman"/>
          <w:sz w:val="18"/>
          <w:szCs w:val="18"/>
          <w:b w:val="1"/>
          <w:bCs w:val="1"/>
          <w:i w:val="1"/>
          <w:iCs w:val="1"/>
          <w:color w:val="auto"/>
        </w:rPr>
        <w:t>Covidien Group</w:t>
      </w:r>
      <w:r>
        <w:rPr>
          <w:rFonts w:ascii="Times New Roman" w:cs="Times New Roman" w:eastAsia="Times New Roman" w:hAnsi="Times New Roman"/>
          <w:sz w:val="18"/>
          <w:szCs w:val="18"/>
          <w:color w:val="auto"/>
        </w:rPr>
        <w:t>”), an affiliate of Medtronic plc (the “</w:t>
      </w:r>
      <w:r>
        <w:rPr>
          <w:rFonts w:ascii="Times New Roman" w:cs="Times New Roman" w:eastAsia="Times New Roman" w:hAnsi="Times New Roman"/>
          <w:sz w:val="18"/>
          <w:szCs w:val="18"/>
          <w:b w:val="1"/>
          <w:bCs w:val="1"/>
          <w:color w:val="auto"/>
        </w:rPr>
        <w:t>Covidien Forward Purchase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shall mean the 4,000,000 shares of Common Stock of the Company issued to the Company’s initial shareholders in connection with the Domestication upon the conversion of the 4,000,000 ordinary shares, par value $0.0001 per share of the Company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issued to such initial shareholders prior to the Company’s initial public offering.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shall have the meaning given in the Preamble, for so long as such person or entity holds any Registrable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shall have the meaning given in Section 4.1.1.</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1" w:name="page122"/>
    <w:bookmarkEnd w:id="12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shall mean: (a) with respect to any Sponsor Equityholder, any person or entity to whom a Holder of Registrable Securities is permitted to transfer such Registrable Securities prior to the expiration of the Lock-up Period on approval of both the Company and the Sponsor, and (b) any person or entity to whom a Holder of Registrable Securities is permitted to transfer such Registrable Securities prior to the expiration of the Lock-up Period under this Agreement and any other applicable agreement between such Holder and the Company, and to any transferee thereafter.</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Shares</w:t>
      </w:r>
      <w:r>
        <w:rPr>
          <w:rFonts w:ascii="Times New Roman" w:cs="Times New Roman" w:eastAsia="Times New Roman" w:hAnsi="Times New Roman"/>
          <w:sz w:val="18"/>
          <w:szCs w:val="18"/>
          <w:color w:val="auto"/>
        </w:rPr>
        <w:t>” shall mean the 450,000 shares of Common Stock issued by the Company in connection with the Domestication upon the conversion of Ordinary Shares that were privately purchased simultaneously with the consummation of the Company’s initial public offering.</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shall mean the 1,500,000 warrants to purchase Common Stock issued by the Company in connection with the Domestication upon the conversion of 1,500,000 warrants to purchase Ordinary Shares issued by the Company that were privately purchased simultaneously with the consummation of the Company’s initial public offering.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Security</w:t>
      </w:r>
      <w:r>
        <w:rPr>
          <w:rFonts w:ascii="Times New Roman" w:cs="Times New Roman" w:eastAsia="Times New Roman" w:hAnsi="Times New Roman"/>
          <w:sz w:val="18"/>
          <w:szCs w:val="18"/>
          <w:color w:val="auto"/>
        </w:rPr>
        <w:t xml:space="preserve">” shall mean (a) the Merger Shares (b) the Founder Shares, (c) the Private Shares, (c) the Private Warrants and the Common Stock issued or issuable upon the exercise of the Private Warrants, (d) the Working Capital Warrants and any shares of Common Stock issued or issuable upon the exercise of the Working Capital Warrants, (e) the Commitment Shares, (f) the Earnout Shares, (g) the Covidien Forward Purchase Shares, (h) any outstanding share of the Common Stock or any other equity security (including the shares of Common Stock issued or issuable upon the exercise of any other equity security) of the Company held by a Holder as of the date of this Agreement and (i) any other equity security of the Company issued or issuable with respect to any such share of the Common Stock by way of a stock dividend or stock split or in connection with a combination of shares, recapitalization, merger, consolidation, spin-off, reorganization or similar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upon the earliest occur of: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(other than to a Permitted Transferee), new certificates for such securities not bearing (or book entry positions not subject to)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(but with no volume or other restrictions or limitations); or (E) such securities have been sold to, or through, a broker, dealer or underwriter in a public distribution or other public securities transaction.</w:t>
      </w:r>
      <w:r>
        <w:rPr>
          <w:rFonts w:ascii="Times New Roman" w:cs="Times New Roman" w:eastAsia="Times New Roman" w:hAnsi="Times New Roman"/>
          <w:sz w:val="29"/>
          <w:szCs w:val="29"/>
          <w:color w:val="auto"/>
          <w:vertAlign w:val="superscript"/>
        </w:rPr>
        <w:t>1</w:t>
      </w:r>
    </w:p>
    <w:p>
      <w:pPr>
        <w:spacing w:after="0" w:line="3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shall mean a registration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shall mean the out-of-pocket expenses of a Registration, including, without limitation,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4230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2" w:name="page123"/>
    <w:bookmarkEnd w:id="122"/>
    <w:p>
      <w:pPr>
        <w:ind w:firstLine="656"/>
        <w:spacing w:after="0" w:line="282" w:lineRule="auto"/>
        <w:tabs>
          <w:tab w:leader="none" w:pos="123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9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5"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8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0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Underwritten Offering, reasonable and documented fees and expenses of one (1) legal counsel selected by the majority-in-interest of the Demanding Holders; and</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23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of the Company and any of its officers, directors, counsel or other representatives in connection with presentations or meetings undertaken in connection with the offering of the Registrable Securities, including, without limitation, expenses associated with the production of road show slides and graphics and the production and hosting of any electronic road shows, fees and expenses of any consultants engaged in connection with road show presentations, and travel, lodging, transportation, and other expenses of the officers, directors, counsel and other representatives of the Company incurred in connection with any such presentations or meetings.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any registration statement filed by the Company with the Commission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shall mean the Form S-1 Shelf, the Form S-3 Shelf or any subsequent Shelf Registration.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Registration</w:t>
      </w:r>
      <w:r>
        <w:rPr>
          <w:rFonts w:ascii="Times New Roman" w:cs="Times New Roman" w:eastAsia="Times New Roman" w:hAnsi="Times New Roman"/>
          <w:sz w:val="18"/>
          <w:szCs w:val="18"/>
          <w:color w:val="auto"/>
        </w:rPr>
        <w:t>” shall mean a registration of securities pursuant to a Registration Statement filed with the Commission in accordance with and pursuant to Rule 415 promulgated under the Securities Act (or any successor rule then in effect).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shall mean HSAC 2 Holdings,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 Forward Purchase Agreement</w:t>
      </w:r>
      <w:r>
        <w:rPr>
          <w:rFonts w:ascii="Times New Roman" w:cs="Times New Roman" w:eastAsia="Times New Roman" w:hAnsi="Times New Roman"/>
          <w:sz w:val="18"/>
          <w:szCs w:val="18"/>
          <w:color w:val="auto"/>
        </w:rPr>
        <w:t>” shall have the meaning given in the definition of “Forward Purchase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the (a) the sale or assignment of, offer to sell, contract or agreement to sell,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Working Capital Warrants</w:t>
      </w:r>
      <w:r>
        <w:rPr>
          <w:rFonts w:ascii="Times New Roman" w:cs="Times New Roman" w:eastAsia="Times New Roman" w:hAnsi="Times New Roman"/>
          <w:sz w:val="18"/>
          <w:szCs w:val="18"/>
          <w:color w:val="auto"/>
        </w:rPr>
        <w:t>” shall mean any warrants issued in payment for working capital loans from the Sponsor to the Company, including any warrants issued by the Company in connection with the Domestication upon the conversion of warrants issued in payment for working capital loans from the Sponsor.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REGISTRATIONS</w:t>
      </w:r>
    </w:p>
    <w:p>
      <w:pPr>
        <w:spacing w:after="0" w:line="20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Shelf Registration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The Company shall as soon as reasonably practicable, but in any event within forty-five (45) days after the Closing Date, file with the Commission a Registration Statement for a Shelf Registration on Form S-1 (the “</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covering, subject to Section 3.4, the public resale of all of the Registrable Securities (determined as of two (2) business days prior to such filing) on a delayed or continuous basis and shall use its commercially reasonable efforts to cause such Form S-1 Shelf to be declared effective as soon as practicable after the filing thereof, but in no event later than the earlier of (i) the 30th calendar day (or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if the Commission notifies the Company that it will “review” the Registration Statement) following the filing of the Registration Statement and (ii)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date the Company is notified (orally or in writing, whichever is earlier) by the Commission that the Registration Statement will not be “reviewed” or will not be subject to further review. Such Form S-1 Shelf shall provide for the resale of the Registrable Securities included therein pursuant to any method or combination of methods legally available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Following the filing of a Form S-1 Shelf, the Company shall use its commercially reasonable efforts to convert the Form S-1 Shelf (and any Subsequent Shelf Registration) to a Registration Statement on Form S-3 (the “</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as soon as reasonably practicable after the Company is eligible to use Form S-3. As soon as reasonably practicable following the effective date of a Registration Statement filed pursuant to this Section 2.1.1, but in any event within one (1) business day of such date, the Company shall notify the Holders of the effectiveness of such Registration Statement. The Company’s obligation under this Section 2.1.1 shall, for the avoidance of doubt be subject to Section 3.4 hereto.</w:t>
      </w:r>
    </w:p>
    <w:p>
      <w:pPr>
        <w:spacing w:after="0" w:line="21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Subsequent Shelf Registration</w:t>
      </w:r>
      <w:r>
        <w:rPr>
          <w:rFonts w:ascii="Times New Roman" w:cs="Times New Roman" w:eastAsia="Times New Roman" w:hAnsi="Times New Roman"/>
          <w:sz w:val="18"/>
          <w:szCs w:val="18"/>
          <w:color w:val="auto"/>
        </w:rPr>
        <w:t>. If any Shelf ceases to be effective under the Securities Act for any reason at any time while Registrable Securities are still outstanding, the Company shall, subject to Section 3.4, use its commercially reasonable efforts to as promptly as is reasonably practicable cause such Shelf to again become effective under the Securities Act (including using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 w:cs="Times New Roman" w:eastAsia="Times New Roman" w:hAnsi="Times New Roman"/>
          <w:sz w:val="18"/>
          <w:szCs w:val="18"/>
          <w:b w:val="1"/>
          <w:bCs w:val="1"/>
          <w:i w:val="1"/>
          <w:iCs w:val="1"/>
          <w:color w:val="auto"/>
        </w:rPr>
        <w:t>Subsequent Shelf Registration</w:t>
      </w:r>
      <w:r>
        <w:rPr>
          <w:rFonts w:ascii="Times New Roman" w:cs="Times New Roman" w:eastAsia="Times New Roman" w:hAnsi="Times New Roman"/>
          <w:sz w:val="18"/>
          <w:szCs w:val="18"/>
          <w:color w:val="auto"/>
        </w:rPr>
        <w:t>”) registering the resale of all Registrable Securities (determined as of two (2) business days prior to such filing), and pursuant to any method or combination of methods legally available to, and requested by, any Holder named therein. If a Subsequent Shelf Registration is filed, the Company shall use its commercially reasonable efforts to (i) cause such Subsequent Shelf Registration to become effective under the Securities Act as promptly as is reasonably practicable after the filing thereof (it being agreed that the Subsequent Shelf Registration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shall be on Form S-3 to the extent that the Company is eligible to use such form. Otherwise, such Subsequent Shelf Registration shall be on another appropriate form. The Company’s obligation under this Section 2.1.2 shall, for the avoidance of doubt be subject to Section 3.4 hereto.</w:t>
      </w:r>
    </w:p>
    <w:p>
      <w:pPr>
        <w:spacing w:after="0" w:line="19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Requests for Underwritten Shelf Takedowns</w:t>
      </w:r>
      <w:r>
        <w:rPr>
          <w:rFonts w:ascii="Times New Roman" w:cs="Times New Roman" w:eastAsia="Times New Roman" w:hAnsi="Times New Roman"/>
          <w:sz w:val="18"/>
          <w:szCs w:val="18"/>
          <w:color w:val="auto"/>
        </w:rPr>
        <w:t>. At any time and from time to time when an effective Shelf is on file with the Commission, any one or more Holder (any Holder being, in such case, a “</w:t>
      </w:r>
      <w:r>
        <w:rPr>
          <w:rFonts w:ascii="Times New Roman" w:cs="Times New Roman" w:eastAsia="Times New Roman" w:hAnsi="Times New Roman"/>
          <w:sz w:val="18"/>
          <w:szCs w:val="18"/>
          <w:b w:val="1"/>
          <w:bCs w:val="1"/>
          <w:i w:val="1"/>
          <w:iCs w:val="1"/>
          <w:color w:val="auto"/>
        </w:rPr>
        <w:t>Demanding Holder</w:t>
      </w:r>
      <w:r>
        <w:rPr>
          <w:rFonts w:ascii="Times New Roman" w:cs="Times New Roman" w:eastAsia="Times New Roman" w:hAnsi="Times New Roman"/>
          <w:sz w:val="18"/>
          <w:szCs w:val="18"/>
          <w:color w:val="auto"/>
        </w:rPr>
        <w:t>”) may request to sell all or any portion of their Registrable Securities in an underwritten offering that is registered pursuant to the Shelf (each, an “</w:t>
      </w:r>
      <w:r>
        <w:rPr>
          <w:rFonts w:ascii="Times New Roman" w:cs="Times New Roman" w:eastAsia="Times New Roman" w:hAnsi="Times New Roman"/>
          <w:sz w:val="18"/>
          <w:szCs w:val="18"/>
          <w:b w:val="1"/>
          <w:bCs w:val="1"/>
          <w:i w:val="1"/>
          <w:iCs w:val="1"/>
          <w:color w:val="auto"/>
        </w:rPr>
        <w:t>Underwritten Shelf Takedown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only be obligated to effect an Underwritten Offering if such offering: (i) shall include Registrable Securities proposed to be sold by the Demanding Holder(s), either individually or together with other Demanding Holders, with a total offering price reasonably expected to exceed, in the aggregate, $25 million (the “</w:t>
      </w:r>
      <w:r>
        <w:rPr>
          <w:rFonts w:ascii="Times New Roman" w:cs="Times New Roman" w:eastAsia="Times New Roman" w:hAnsi="Times New Roman"/>
          <w:sz w:val="18"/>
          <w:szCs w:val="18"/>
          <w:b w:val="1"/>
          <w:bCs w:val="1"/>
          <w:i w:val="1"/>
          <w:iCs w:val="1"/>
          <w:color w:val="auto"/>
        </w:rPr>
        <w:t>Minimum Takedown Threshold</w:t>
      </w:r>
      <w:r>
        <w:rPr>
          <w:rFonts w:ascii="Times New Roman" w:cs="Times New Roman" w:eastAsia="Times New Roman" w:hAnsi="Times New Roman"/>
          <w:sz w:val="18"/>
          <w:szCs w:val="18"/>
          <w:color w:val="auto"/>
        </w:rPr>
        <w:t xml:space="preserve">”), or (ii) is comprised of all remaining Registrable Securities held by the Demanding Holder. All requests for Underwritten Shelf Takedowns shall be made by giving written notice to the Company, which shall specify the approximate number of Registrable Securities proposed to be sold in the Underwritten Offering. Subject to Section 2.3.4, a majority-in-interest of the Demanding Holders shall have the right to select the Underwriters for such offering (which shall consist of one or more reputable nationally recognized investment banks), subject to the Company’s prior approval (which shall not be unreasonably withheld, conditioned or delayed). The Legacy Orchestra Equityholders, on the one hand, and the Sponsor Equityholders, on the other hand, may each demand not more than one (1) Underwritten Shelf Takedown pursuant to this Section 2.1.3 within any nine (9)-month period;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Demanding Holder may request an Underwritten Shelf Takedown during the six-month period following the closing of a prior Underwritten Shelf Takedown. Notwithstanding anything to the contrary in this Agreement, the Company may effect any Underwritten Offering pursuant to any then effective Registration Statement, including a Form S-3, that is then available for such offering.</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4" w:name="page125"/>
    <w:bookmarkEnd w:id="12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Shelf Takedown, in good faith, advises the Company, the Demanding Holders and Holders requesting piggyback rights pursuant to this Agreement with respect to such Underwritten Shelf Takedown (the “</w:t>
      </w:r>
      <w:r>
        <w:rPr>
          <w:rFonts w:ascii="Times New Roman" w:cs="Times New Roman" w:eastAsia="Times New Roman" w:hAnsi="Times New Roman"/>
          <w:sz w:val="18"/>
          <w:szCs w:val="18"/>
          <w:b w:val="1"/>
          <w:bCs w:val="1"/>
          <w:i w:val="1"/>
          <w:iCs w:val="1"/>
          <w:color w:val="auto"/>
        </w:rPr>
        <w:t>Requesting Holders</w:t>
      </w:r>
      <w:r>
        <w:rPr>
          <w:rFonts w:ascii="Times New Roman" w:cs="Times New Roman" w:eastAsia="Times New Roman" w:hAnsi="Times New Roman"/>
          <w:sz w:val="18"/>
          <w:szCs w:val="18"/>
          <w:color w:val="auto"/>
        </w:rPr>
        <w:t>”) (if any) in writing that the dollar amount or number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as to which a Registration has been requested pursuant to separate written contractual piggyback registration rights entered into after the date hereof held by any other stockholders who desire to sell, exceeds the maximum dollar amount or maximum number of equity securities that can be sold in the Underwritten Offering without materially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Times New Roman" w:cs="Times New Roman" w:eastAsia="Times New Roman" w:hAnsi="Times New Roman"/>
          <w:sz w:val="18"/>
          <w:szCs w:val="18"/>
          <w:b w:val="1"/>
          <w:bCs w:val="1"/>
          <w:i w:val="1"/>
          <w:iCs w:val="1"/>
          <w:color w:val="auto"/>
        </w:rPr>
        <w:t>Pro Rata</w:t>
      </w:r>
      <w:r>
        <w:rPr>
          <w:rFonts w:ascii="Times New Roman" w:cs="Times New Roman" w:eastAsia="Times New Roman" w:hAnsi="Times New Roman"/>
          <w:sz w:val="18"/>
          <w:szCs w:val="18"/>
          <w:color w:val="auto"/>
        </w:rPr>
        <w:t>”)) that can be sold without exceeding the Maximum Number of Securities; (ii) second, to the extent that the Maximum Number of Securities has not been reached under the foregoing clause (i), the shares of Common Stock or other equity securities that the Company desires to sell, which can be sold without exceeding the Maximum Number of Securities; and (iii) third, to the extent that the Maximum Number of Securities has not been reached under the foregoing clauses (i) and (ii), the shares of Common Stock or other equity securities of other persons or entities that the Company is obligated to register in a Registration pursuant to separate written contractual arrangements entered into after the date hereof with such persons and that can be sold without exceeding the Maximum Number of Securities.</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Prior to the pricing of an Underwritten Shelf Takedown, a majority-in-interest of the Demanding Holders initiating such Underwritten Offering shall have the right to withdraw from a Registration pursuant to such Underwritten Offering for any or no reason whatsoever upon written notification (a “</w:t>
      </w:r>
      <w:r>
        <w:rPr>
          <w:rFonts w:ascii="Times New Roman" w:cs="Times New Roman" w:eastAsia="Times New Roman" w:hAnsi="Times New Roman"/>
          <w:sz w:val="18"/>
          <w:szCs w:val="18"/>
          <w:b w:val="1"/>
          <w:bCs w:val="1"/>
          <w:i w:val="1"/>
          <w:iCs w:val="1"/>
          <w:color w:val="auto"/>
        </w:rPr>
        <w:t>Withdrawal Notice</w:t>
      </w:r>
      <w:r>
        <w:rPr>
          <w:rFonts w:ascii="Times New Roman" w:cs="Times New Roman" w:eastAsia="Times New Roman" w:hAnsi="Times New Roman"/>
          <w:sz w:val="18"/>
          <w:szCs w:val="18"/>
          <w:color w:val="auto"/>
        </w:rPr>
        <w:t xml:space="preserve">”) to the Company and the Underwriter or Underwriters (if any) of their intention to withdraw from such Underwritten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Legacy Orchestra Equityholder or Sponsor Equityholder may elect to have the Company continue an Underwritten Offering if the Minimum Takedown Threshold would still be satisfied by the Registrable Securities proposed to be sold in the Underwritten Offering by the Legacy Orchestra Equityholders and the Sponsor Equityholders. If withdrawn, a demand for an Underwritten Offering shall constitute a demand for an Underwritten Offering by the withdrawing Demanding Holder for purposes of Section 2.1.3, unless either (i) such Demanding Holder has not previously withdrawn any Underwritten Offering or (ii) such Demanding Holder reimburses the Company for all Registration Expenses with respect to such Underwritten Offering (or, if there is more than one Demanding Holder,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such Registration Expenses based on the respective number of Registrable Securities that each Demanding Holder has requested be included in such Underwritten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Legacy Orchestra Equityholder or a Sponsor Equityholder elects to continue an Underwritten Offering pursuant to the proviso in the immediately preceding sentence, such Underwritten Offering shall instead count as an Underwritten Offering demanded by such Legacy Orchestra Equityholder or the Sponsor Equityholders, as applicable, for purposes of Section 2.1.3. Following the receipt of any Withdrawal Notice, the Company shall promptly forward such Withdrawal Notice to any other Holders that had elected to participate in such Underwritten Shelf Takedown. Notwithstanding anything to the contrary in this Agreement, the Company shall be responsible for the Registration Expenses incurred in connection with an Underwritten Shelf Takedown prior to its withdrawal under this Section 2.1.5, other than if a Demanding Holder elects to pay such Registration Expenses pursuant to clause (ii) of the second sentence of this Section 2.1.5.</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2.1.6 Notwithstanding the registration obligations set forth in this Section 2.1,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and use its commercially reasonable efforts to file amendments to the Registration Statement as required by the Commission and/or (ii) withdraw the Registration Statement and file a new registration statement (a “</w:t>
      </w:r>
      <w:r>
        <w:rPr>
          <w:rFonts w:ascii="Times New Roman" w:cs="Times New Roman" w:eastAsia="Times New Roman" w:hAnsi="Times New Roman"/>
          <w:sz w:val="18"/>
          <w:szCs w:val="18"/>
          <w:b w:val="1"/>
          <w:bCs w:val="1"/>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on Form S-3, or if Form S-3 is not then available to the Company for such registration statement, on such other form available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register for resale the Registrable Securities as a secondary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prior to filing such amendment or New Registration Statement, the Company shall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Guidance</w:t>
      </w:r>
      <w:r>
        <w:rPr>
          <w:rFonts w:ascii="Times New Roman" w:cs="Times New Roman" w:eastAsia="Times New Roman" w:hAnsi="Times New Roman"/>
          <w:sz w:val="18"/>
          <w:szCs w:val="18"/>
          <w:color w:val="auto"/>
        </w:rPr>
        <w:t>”), including without limitation, the Manual of Publicly Available Telephone Interpretations D.29. Notwithstanding any other provision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if any SEC Guidance sets forth a limitation of the number of Registrable Securities permitted to be registered on a particular Registration Statement as a secondary offering (and notwithstanding that the Company used commercially reasonable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be reduced on a pro rata basis based on the total number of Registrable Securities held by the Holders, subject to a determination by the Commission that certain Holders must be reduced first based on the number of Registrable Securities held by such Holders. In the event the Company amends the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Registration Statement, as amended, or the New Registration Statement.</w:t>
      </w:r>
    </w:p>
    <w:p>
      <w:pPr>
        <w:spacing w:after="0" w:line="19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Except with respect to withdrawals covered by Section 2.1.5, a Registration shall not count as a Registration unless and until (i) the Registration Statement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after such Registration Statement has been declared effective, an offering of Registrable Securities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Registration thereafter affirmatively elect to continue with such Registration and accordingly notify the Company in writing, but in no event later than five</w:t>
      </w:r>
    </w:p>
    <w:p>
      <w:pPr>
        <w:spacing w:after="0" w:line="3" w:lineRule="exact"/>
        <w:rPr>
          <w:sz w:val="20"/>
          <w:szCs w:val="20"/>
          <w:color w:val="auto"/>
        </w:rPr>
      </w:pPr>
    </w:p>
    <w:p>
      <w:pPr>
        <w:jc w:val="both"/>
        <w:ind w:firstLine="8"/>
        <w:spacing w:after="0" w:line="255" w:lineRule="auto"/>
        <w:tabs>
          <w:tab w:leader="none" w:pos="2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such election;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Company shall not be obligated or required to file another Registration Statement until the Registration Statement that has been previously filed with respect to a Registration pursuant to an Underwritten Demand Registration becomes effective or is subsequently terminated.</w:t>
      </w:r>
    </w:p>
    <w:p>
      <w:pPr>
        <w:spacing w:after="0" w:line="18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Piggyback Registration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Section 2.1 hereof), other than a Registration Statement (or any registered offering with respect thereto) (i) filed in connection with any employee stock option or other benefit plan, (ii) for an exchange offer or offering of securities solely to the Company’s existing stockholders, (iii) for an offering of debt that is convertible into equity securities of the Company, (iv) pursuant to a Registration Statement on Form S-4 (or similar form that relates to a transaction subject to Rule 145 under the Securities Act or any successor rule thereto), (v) for a dividend reinvestment plan, or (vi) for a Block Trade, then the Company shall give written notice of such proposed filing to all of the Holders of Registrable Securities as soon as practicable but not less than ten (10) days before the anticipated filing date of such Registration Statement or, in the case of an Underwritten Offering pursuant to a Shelf Registration, the applicable “red herring” prospectus or prospectus supplement used for marketing such offering,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Subject to Section 2.2.2, the Company shall, in good faith, cause such Registrable Securities to be included in such Piggyback Registration and, if applicable, shall use commercially reasonable efforts to cause the managing Underwriter or Underwriters of a proposed Underwritten Offering to permit the Registrable Securities requested by the Holders pursuant to this Section 2.2.1 to be included in a Piggyback Registration on the same terms and conditions as any similar securities of the Company included in such registered offering and to permit the sale or other disposition of such Registrable Securities in accordance with the intended method(s) of distribution thereof. All such Holders proposing to distribute their Registrable Securities through an Underwritten Offering under this Section 2.2.1 shall enter into an underwriting agreement in customary form with the Underwriter(s) selected for such Underwritten Offering by the Company.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shares of Common Stock or other equity securities that the Company desires to sell, taken together with (i) the shares of Common Stock or other equity securities, if any, as to which Registration or a registered offering has been demanded pursuant to separate written contractual arrangements with persons or entities other than the Holders of Registrable Securities hereunder, (ii) the Registrable Securities as to which registration has been requested pursuant to Section 2.2 hereof, and (iii) the shares of Common Stock or other equity securities, if any, as to which Registration or a registered offering has been requested pursuant to separate written contractual piggyback registration rights of stockholders of the Company other than the Holders of Registrable Securities, exceeds the Maximum Number of Securities, then:</w:t>
      </w:r>
    </w:p>
    <w:p>
      <w:pPr>
        <w:spacing w:after="0" w:line="192" w:lineRule="exact"/>
        <w:rPr>
          <w:sz w:val="20"/>
          <w:szCs w:val="20"/>
          <w:color w:val="auto"/>
        </w:rPr>
      </w:pPr>
    </w:p>
    <w:p>
      <w:pPr>
        <w:jc w:val="both"/>
        <w:ind w:firstLine="1952"/>
        <w:spacing w:after="0" w:line="253" w:lineRule="auto"/>
        <w:tabs>
          <w:tab w:leader="none" w:pos="253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or a registered offering is undertaken for the Company’s account, the Company shall include in any such Registration or a registered offering (A) first, the shares of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Section 2.2.1 hereof, Pro Rata, based on the respective number of Registrable Securities that each Holder has so requested to be included in such Registration or such registered offering, which can be sold without exceeding the Maximum Number of Securities; and (C) third, to the extent that the Maximum Number of Securities has not been reached under the foregoing clauses (A) and (B), the shares of Common Stock or other equity securities, if any, as to which Registration or a registered offering has been requested pursuant to written contractual piggyback registration rights of stockholders of the Company entered into after the date hereof, other than the Holders of Registrable Securities, which can be sold without exceeding the Maximum Number of Securities;</w:t>
      </w:r>
    </w:p>
    <w:p>
      <w:pPr>
        <w:spacing w:after="0" w:line="194" w:lineRule="exact"/>
        <w:rPr>
          <w:rFonts w:ascii="Times New Roman" w:cs="Times New Roman" w:eastAsia="Times New Roman" w:hAnsi="Times New Roman"/>
          <w:sz w:val="18"/>
          <w:szCs w:val="18"/>
          <w:color w:val="auto"/>
        </w:rPr>
      </w:pPr>
    </w:p>
    <w:p>
      <w:pPr>
        <w:jc w:val="both"/>
        <w:ind w:firstLine="1952"/>
        <w:spacing w:after="0" w:line="253" w:lineRule="auto"/>
        <w:tabs>
          <w:tab w:leader="none" w:pos="263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or a registered offering is pursuant to a request by persons or entities other than the Holders of Registrable Securities, then the Company shall include in any such Registration or a registered offering (A) first, the shares of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Section 2.2.1, Pro Rata, based on the respective number of Registrable Securities that each Holder has so requested to be included in such Registration or such registered offering, which can be sold without exceeding the Maximum Number of Securities; (C) third, to the extent that the Maximum Number of Securities has not been reached under the foregoing clauses (A)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if any, as to which Registration or a registered offering has been requested pursuant to separate written contractual piggyback registration rights entered into after the date hereof, of persons or entities other than the Holders of Registrable Securities hereunder, which can be sold without exceeding the Maximum Number of Securities; and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p>
      <w:pPr>
        <w:ind w:firstLine="1952"/>
        <w:spacing w:after="0" w:line="282" w:lineRule="auto"/>
        <w:tabs>
          <w:tab w:leader="none" w:pos="2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or registered offering is pursuant to a request by Holder(s) of Registrable Securities pursuant to Section 2.1 hereof, then the Company shall include in any such Registration or registered offering securities in the priority set forth in Section 2.1.4.</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xml:space="preserve">. Any Holder of Registrable Securities (other than a Demanding Holder, whose right to withdraw from an Underwritten Shelf Takedown, and related obligations, shall be governed by Section 2.1.5)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Other than with respect to an Underwritten Shelf Takedown by a Demanding Holder pursuant to Section 2.1.3, the Company (whether on its own good faith determination or as the result of a request for withdrawal by persons or entities pursuant to separate written contractual obligations) may withdraw a Registration Statement filed with the Commission in connection with a Piggyback Registration at any time prior to the effectiveness of such Registration Statement or abandon the </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xml:space="preserve"> in connection with a Piggyback Registration at any time prior to the launch of such </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Notwithstanding anything to the contrary in this Agreement, the Company shall be responsible for the Registration Expenses incurred in connection with the Piggyback Registration prior to its withdrawal under this Section 2.2.3.</w:t>
      </w:r>
    </w:p>
    <w:p>
      <w:pPr>
        <w:spacing w:after="0" w:line="19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For purposes of clarity, any Piggyback Registration effected pursuant to Section 2.2 hereof shall not be counted as a Registration pursuant to an Underwritten Shelf Takedown effected under Section 2.1 hereof.</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Block Trades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2.3.1 Notwithstanding the foregoing, at any time and from time to time when an effective Shelf is on file with the Commission and effective, if a Demanding Holder wishes to engage in a Block Trade, (x) with a total offering price reasonably expected to exceed $75 million in the aggregate or (y) with respect to all remaining Registrable Securities held by the Demanding Holder (the “</w:t>
      </w:r>
      <w:r>
        <w:rPr>
          <w:rFonts w:ascii="Times New Roman" w:cs="Times New Roman" w:eastAsia="Times New Roman" w:hAnsi="Times New Roman"/>
          <w:sz w:val="18"/>
          <w:szCs w:val="18"/>
          <w:b w:val="1"/>
          <w:bCs w:val="1"/>
          <w:i w:val="1"/>
          <w:iCs w:val="1"/>
          <w:color w:val="auto"/>
        </w:rPr>
        <w:t>Minimum Block Threshold</w:t>
      </w:r>
      <w:r>
        <w:rPr>
          <w:rFonts w:ascii="Times New Roman" w:cs="Times New Roman" w:eastAsia="Times New Roman" w:hAnsi="Times New Roman"/>
          <w:sz w:val="18"/>
          <w:szCs w:val="18"/>
          <w:color w:val="auto"/>
        </w:rPr>
        <w:t xml:space="preserve">”), then such Demanding Holder only needs to notify the Company of the Block Trade at least five (5) business days prior to the day such offering is to commence and the Company shall as expeditiously as possible use its commercially reasonable efforts to facilitate such Block Trade;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Demanding Holders representing a majority of the Registrable Securities wishing to engage in the Block Trade shall use commercially reasonable efforts to work with the Company and any Underwriters prior to making such request in order to facilitate preparation of the registration statement, prospectus and other offering documentation related to the Block Trade.</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2.3.2 Prior to the filing of the applicable “red herring” prospectus or prospectus supplement used in connection with a Block Trade, a majority-in-interest of the Demanding Holders initiating such Block Trade shall have the right to submit a Withdrawal Notice to the Company and the Underwriter or Underwriters (if any) of their intention to withdraw from such Block Trade,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other Demanding Holder(s) may elect to have the Company continue a Block Trade if the Minimum Block Threshold would still be satisfied by the Registrable Securities proposed to be sold in the Block Trade by the remaining Demanding Holder(s). Notwithstanding anything to the contrary in this Agreement, the Company shall be responsible for the Registration Expenses incurred in connection with a Block Trade prior to its withdrawal under this Section 2.3.2.</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2.3.3 Notwithstanding anything to the contrary in this Agreement, Section 2.2 hereof shall not apply to a Block Trade initiated by a Demanding Holder pursuant to this Agreement.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2.3.4 The Demanding Holder in a Block Trade shall have the right to select the Underwriters for such Block Trade (which shall consist of one or more reputable nationally recognized investment banks).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2.3.5 Each Legacy Orchestra Equityholder and Sponsor Equityholder may demand no more than one (1) Block Trade pursuant to this Section 2.3 in any twelve (12) month period. For the avoidance of doubt, any Block Trade effected pursuant to this Section 2.3 shall not be counted as a demand for an Underwritten Shelf Takedown pursuant to Section 2.1.3 hereof.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 Procedures</w:t>
      </w:r>
      <w:r>
        <w:rPr>
          <w:rFonts w:ascii="Times New Roman" w:cs="Times New Roman" w:eastAsia="Times New Roman" w:hAnsi="Times New Roman"/>
          <w:sz w:val="18"/>
          <w:szCs w:val="18"/>
          <w:color w:val="auto"/>
        </w:rPr>
        <w:t>. If the Company is required to effect the Registration of Registrable Securities pursuant to this Agreement,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within the time frame required by Section 2.1.1 (to the extent applicable) a Registration Statement with respect to such Registrable Securities and use its reasonable best efforts to cause such Registration Statement to become effective and remain effective, until all Registrable Securities covered by such Registration Statement have been sold or have ceased to be Registrable Securities;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reasonably requested by any Holder with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have ceased to be Registrable Securities;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3.1.3 at least two (2) business days prior to filing a Registration Statement or Prospectus, or any amendment or supplement thereto (or such shorter period of time as may be (a) necessary in order to comply with the Securities Act, the Exchange Act and the rules and regulations promulgated thereunder or (b) advisable in order to reduce the number of days that sales are suspended pursuant to Section 3.4), furnish without charge to the Underwriters, if any, and each Holder of Registrable Securities included in such Registration, and each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each Holder of Registrable Securities included in such Registration or the legal counsel for any such Holders may reasonably request in order to facilitate the disposition of the Registrable Securities owned by such Holders;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the Company shall have no obligation to furnish any documents publicly filed or furnished with the Commission pursuant to the Electronic Data Gathering Analysis and Retrieval System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provide each Holder and its legal counsel with a reasonable opportunity to review such documents and comment thereon, and the Company shall consider in good faith any comments provided by such Holder or their legal counsel;</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3.1.4 prior to any public offering of Registrable Securities, use commercially reasonable efforts to (i) register or qualify the Registrable Securities covered by the Registration Statement under such securities or “blue sky” laws of such jurisdictions in the United States as any Holder of Registrable Securities included in such Registration Statement (in light of their intended plan of distribution) may request (or provide evidence reasonably satisfactory to such Holders and their respective legal counsel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3.1.5 cause all Registrable Securities included in any Registration to be listed on such exchanges or otherwise designated for trading in the same manner as similar securities issued by the Company are then listed or designated;</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3.1.8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Section 3.4 hereof;</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3.1.9 in the event of an Underwritten Offering, a Block Trade, or sale by a broker, placement agent or sales agent pursuant to such Registration, in each of the cases to the extent customary for a transaction of its type, permit a representative of the Holders (such representative to be selected by a majority of the participating Holders), the Underwriters or other financial institutions facilitating such Underwritten Offering, Block Trade or other sale pursuant to such Registration, if any, and any attorney, consultant or accountant retained by such Holders or Underwriters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representatives, Underwriters or financial institutions enter into a confidentiality agreement, in customary form and substance reasonably satisfactory to the Company, prior to the release or disclosure of any such information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except as required by Law, the Company may not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consider shall consider in good faith and, to the extent deemed appropriate by the Company in its sole discretion, include.</w:t>
      </w:r>
    </w:p>
    <w:p>
      <w:pPr>
        <w:spacing w:after="0" w:line="19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3.1.10 obtain a “comfort” letter from the Company’s independent registered public accountants in the event of an Underwritten Offering, a Block Trade or sale by a broker, placement agent or sales agent pursuant to such Registration in customary form and covering such matters of the type customarily covered by “comfort” letters for a transaction of its type as the managing Underwriter may reasonably request, and reasonably satisfactory to a majority-in-interest of the participating Holders;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3.1.11 in the event of an Underwritten Offering, a Block Trade or sale by a broker, placement agent or sales agent pursuant to such Registration, on the date the Registrable Securities are delivered for sale pursuant to such Registration, to the extent customary for a transaction of its type, obtain an opinion, dated such date, of counsel representing 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agents, sales agent, or Underwriter may reasonably request and as are customarily included in such opinions and negative assurance letters;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3.1.12 in the event of any Underwritten Offering, enter into and perform its obligations under an underwriting agreement, in usual and customary form, with the managing Underwriter of such offering;</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3.1.13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then in effect), and which requirement will be deemed to be satisfied if the Company timely files complete and accurate information on Forms 10-Q, 10-K and 8-K under the Exchange Act and otherwise complies with Rule 158 under the Securities Act;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3.1.14 if the Registration involves the Registration of Registrable Securities involving gross proceeds in excess of $25 million, use its commercially reasonable efforts to make available senior executives of the Company to participate in customary “road show” presentations that may be reasonably requested by the Underwriter in such Underwritten Offering;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3.1.15 otherwise, in good faith, cooperate reasonably with, and take such customary actions as may reasonably be requested by the participating Holders, consistent with the terms of this Agreement, in connection with such Registration.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Company shall not be required to provide any documents or information to an Underwriter, broker, sales agent or placement agent if such Underwriter, broker, sales agent or placement agent has not then been named with respect to the applicable Underwritten Offering or other offering involving a registration as an Underwriter, broker, sales agent or placement agent, as applicable.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Except as otherwise provided herein, the Registration Expenses of all Registrations, including a Registration that is postponed, suspended, delayed or withdrawn, and any failed Registrations that are withdrawn or abandoned by the Company for any reason shall be borne by the Company, unless a Demanding Holder elects to reimburse the Company pursuant to clause (ii) of the second sentence of Section 2.1.5. It is acknowledged by the Holders that each Holder shall bear, severally and not jointly, with respect to such Holder’s Registrable Securities being sold,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Requirements for Participation in Underwritten Offerings</w:t>
      </w:r>
      <w:r>
        <w:rPr>
          <w:rFonts w:ascii="Times New Roman" w:cs="Times New Roman" w:eastAsia="Times New Roman" w:hAnsi="Times New Roman"/>
          <w:sz w:val="18"/>
          <w:szCs w:val="18"/>
          <w:color w:val="auto"/>
        </w:rPr>
        <w:t>. Notwithstanding anything in this Agreement to the contrary, if any Holder does not provide the Company with its requested Holder Information (as defined in Section 5.1.2), the Company may exclude such Holder’s Registrable Securities from the applicable Registration Statement or Prospectus if the Company determines in good faith, based on the advice of counsel, that it is necessary or advisable to include such information in the applicable Registration Statement or Prospectus and such Holder continues thereafter to withhold such information. In addition, no person or entity may 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 For the avoidance of doubt, the exclusion of a Holder’s Registrable Securities as a result of this Section 3.3 shall not affect the registration of the other Registrable Securities to be included in such Registration.</w:t>
      </w:r>
    </w:p>
    <w:p>
      <w:pPr>
        <w:spacing w:after="0" w:line="194"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u w:val="single" w:color="auto"/>
          <w:color w:val="auto"/>
        </w:rPr>
        <w:t>Suspension of Sales; Adverse Disclosure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3.4.1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reasonably practicable after the time of such notice), or until it is advised in writing by the Company that the use of the Prospectus may be resumed.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ind w:left="1300"/>
        <w:spacing w:after="0"/>
        <w:tabs>
          <w:tab w:leader="none" w:pos="2000" w:val="left"/>
        </w:tabs>
        <w:rPr>
          <w:sz w:val="20"/>
          <w:szCs w:val="20"/>
          <w:color w:val="auto"/>
        </w:rPr>
      </w:pPr>
      <w:r>
        <w:rPr>
          <w:rFonts w:ascii="Times New Roman" w:cs="Times New Roman" w:eastAsia="Times New Roman" w:hAnsi="Times New Roman"/>
          <w:sz w:val="18"/>
          <w:szCs w:val="18"/>
          <w:color w:val="auto"/>
        </w:rPr>
        <w:t>3.4.2</w:t>
      </w:r>
      <w:r>
        <w:rPr>
          <w:sz w:val="20"/>
          <w:szCs w:val="20"/>
          <w:color w:val="auto"/>
        </w:rPr>
        <w:tab/>
      </w:r>
      <w:r>
        <w:rPr>
          <w:rFonts w:ascii="Times New Roman" w:cs="Times New Roman" w:eastAsia="Times New Roman" w:hAnsi="Times New Roman"/>
          <w:sz w:val="18"/>
          <w:szCs w:val="18"/>
          <w:color w:val="auto"/>
        </w:rPr>
        <w:t>If the filing, initial effectiveness or continued use of a Registration Statement in respect of any Registration at any time would</w:t>
      </w:r>
    </w:p>
    <w:p>
      <w:pPr>
        <w:spacing w:after="0" w:line="27" w:lineRule="exact"/>
        <w:rPr>
          <w:sz w:val="20"/>
          <w:szCs w:val="20"/>
          <w:color w:val="auto"/>
        </w:rPr>
      </w:pPr>
    </w:p>
    <w:p>
      <w:pPr>
        <w:jc w:val="both"/>
        <w:ind w:firstLine="8"/>
        <w:spacing w:after="0" w:line="251" w:lineRule="auto"/>
        <w:tabs>
          <w:tab w:leader="none" w:pos="2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make an Adverse Disclosure, (b) require the inclusion in such Registration Statement of financial statements that are unavailable to the Company for reasons beyond the Company’s control, or (c) in the good faith judgment of the majority of the Board such Registration, be seriously detrimental to the Company and the majority of the Board concludes as a result that it is essential to defer such filing, initial effectiveness or continued use at such time, the Company may, upon giving prompt written notice of such action to the Holders, delay the filing or initial effectiveness of, or suspend use of, such Registration Statement for the shortest period of time, but in no event no more than three (3) occasions or for more than sixty (60) consecutive days, or more than ninety (90) total calendar days, in each case, during any 12-month period,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 The Company shall promptly notify the Holders of the expiration of any period during which it exercised its rights under this Section 3.4, and, upon the expiration of any such period, the Holders shall be entitled to resume the use of any such Prospectus in connection with any sale or offer to sell Registrable Securities.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Reporting Obligations</w:t>
      </w:r>
      <w:r>
        <w:rPr>
          <w:rFonts w:ascii="Times New Roman" w:cs="Times New Roman" w:eastAsia="Times New Roman" w:hAnsi="Times New Roman"/>
          <w:sz w:val="18"/>
          <w:szCs w:val="18"/>
          <w:color w:val="auto"/>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documents publicly filed or furnished with the Commission pursuant to EDGAR shall be deemed to have been furnished or delivered to the Holders pursuant to this Section 3.5.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Section 4(a)(1) of the Securities Act or Rule 144 promulgated under the Securities Act (or any successor rule then in effect), including providing any legal opinions. Upon the request of any Holder, the Company shall deliver to such Holder a written certification of a duly authorized officer as to whether it has complied with such requirements.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20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Lock-up</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4.1.1 Except as permitted by Section 4.2, each Legacy Orchestra Equityholder and Sponsor Equityholder (each, a “</w:t>
      </w:r>
      <w:r>
        <w:rPr>
          <w:rFonts w:ascii="Times New Roman" w:cs="Times New Roman" w:eastAsia="Times New Roman" w:hAnsi="Times New Roman"/>
          <w:sz w:val="18"/>
          <w:szCs w:val="18"/>
          <w:b w:val="1"/>
          <w:bCs w:val="1"/>
          <w:i w:val="1"/>
          <w:iCs w:val="1"/>
          <w:color w:val="auto"/>
        </w:rPr>
        <w:t>Lock-up Party</w:t>
      </w:r>
      <w:r>
        <w:rPr>
          <w:rFonts w:ascii="Times New Roman" w:cs="Times New Roman" w:eastAsia="Times New Roman" w:hAnsi="Times New Roman"/>
          <w:sz w:val="18"/>
          <w:szCs w:val="18"/>
          <w:color w:val="auto"/>
        </w:rPr>
        <w:t>”) shall not Transfer (the “</w:t>
      </w:r>
      <w:r>
        <w:rPr>
          <w:rFonts w:ascii="Times New Roman" w:cs="Times New Roman" w:eastAsia="Times New Roman" w:hAnsi="Times New Roman"/>
          <w:sz w:val="18"/>
          <w:szCs w:val="18"/>
          <w:b w:val="1"/>
          <w:bCs w:val="1"/>
          <w:i w:val="1"/>
          <w:iCs w:val="1"/>
          <w:color w:val="auto"/>
        </w:rPr>
        <w:t>Lock-up</w:t>
      </w:r>
      <w:r>
        <w:rPr>
          <w:rFonts w:ascii="Times New Roman" w:cs="Times New Roman" w:eastAsia="Times New Roman" w:hAnsi="Times New Roman"/>
          <w:sz w:val="18"/>
          <w:szCs w:val="18"/>
          <w:color w:val="auto"/>
        </w:rPr>
        <w:t>”) any shares of Common Stock or any security convertible into or exercisable or exchanged for Common Stock beneficially owned or owned of record by such Holder (the “</w:t>
      </w:r>
      <w:r>
        <w:rPr>
          <w:rFonts w:ascii="Times New Roman" w:cs="Times New Roman" w:eastAsia="Times New Roman" w:hAnsi="Times New Roman"/>
          <w:sz w:val="18"/>
          <w:szCs w:val="18"/>
          <w:b w:val="1"/>
          <w:bCs w:val="1"/>
          <w:i w:val="1"/>
          <w:iCs w:val="1"/>
          <w:color w:val="auto"/>
        </w:rPr>
        <w:t>Lock-up Shares</w:t>
      </w:r>
      <w:r>
        <w:rPr>
          <w:rFonts w:ascii="Times New Roman" w:cs="Times New Roman" w:eastAsia="Times New Roman" w:hAnsi="Times New Roman"/>
          <w:sz w:val="18"/>
          <w:szCs w:val="18"/>
          <w:color w:val="auto"/>
        </w:rPr>
        <w:t>”) until the date that is the earlier of (i) six (6) months from the date hereof (or twelve (12) months with respect to the Founder Shares and the Private Shares and any shares of Common Stock or any security convertible into or exercisable or exchanged for Common Stock beneficially owned or owned of record by RTW and its Affiliates as of the date of this Agreement), or (ii) the date on which the Company completes a liquidation, merger, stock exchange, reorganization or other similar transaction that results in all of the Company’s stockholders having the right to exchange their shares of Common Stock for cash, securities or other property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Notwithstanding anything to the contrary in this Agreement, (A) to the extent any Holder has executed any other agreement with the Company or any of its Affiliates that provides for a longer lock-up period than the Lock-up Period, the lock-up period in such other agreement shall control and (B) the Company may at any time or from time to time, in its sole discretion, elect to release from the Lock-up some or all of the Lock-up Shares purchased in connection with the Backstop Agreement by providing written notice of such election to the holders of such Lock-up Shares.</w:t>
      </w:r>
    </w:p>
    <w:p>
      <w:pPr>
        <w:spacing w:after="0" w:line="18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Exceptions</w:t>
      </w:r>
      <w:r>
        <w:rPr>
          <w:rFonts w:ascii="Times New Roman" w:cs="Times New Roman" w:eastAsia="Times New Roman" w:hAnsi="Times New Roman"/>
          <w:sz w:val="17"/>
          <w:szCs w:val="17"/>
          <w:color w:val="auto"/>
        </w:rPr>
        <w:t>. The provisions of Section 4.1 shall not apply to:</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transactions relating to shares of Common Stock or warrants acquired in open market transactions;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4.2.2 Transfers of shares of Common Stock or any security convertible into or exercisable or exchangeable for Common Stock as a bona fide gift or charitable contribution;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4.2.3 Transfers of shares of Common Stock or any security convertible into or exercisable or exchangeable for Common Stock to a trust, family limited partnership or other entity formed for estate planning purposes for the primary benefit of the spouse, domestic partner, parent, sibling, child or grandchild of a Holder or any other person with whom a Holder has a relationship by blood, marriage or adoption not more remote than first cousin and Transfers to any such family member;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4.2.4 Transfers of shares of Common Stock or any security convertible into or exercisable or exchangeable for Common Stock by will or intestate succession or the laws of descent and distributions upon the death of a Holder (it being understood and agreed that the appointment of one or more executors, administrators or personal representatives of the estate of a Holder shall not be deemed a Transfer hereunder to the extent that such executors, administrators and/or personal representatives comply with the terms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on behalf of such estate);</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4.2.5 Transfers of shares of Common Stock or any security convertible into or exercisable or exchangeable for Common Stock pursuant to a qualified domestic order or in connection with a divorce settlement;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4.2.6 if a Holder is a corporation, partnership (whether general, limited or otherwise), limited liability company, trust or other business entity, (i) Transfers of shares of Common Stock or any security convertible into or exercisable or exchangeable for Common Stock to another corporation, partnership, limited liability company, trust or other business entity that controls, is controlled by or is under common control or management with a Holder (including, for the avoidance of doubt, where such Holder is a partnership, to its general partner or a successor partnership or fund, or any other funds managed by such partnership), or (ii) Transfers of shares of Common Stock or any security convertible into or exercisable or exchangeable for Common Stock as part of a dividend, distribution, transfer or other disposition of shares of Common Stock to partners, limited liability company members, direct or indirect stockholders or other equity holders of a Holder, including, for the avoidance of doubt, where such Holder is a partnership, to its general partner or a successor partnership, fund or investment vehicle, or any other partnerships, funds or investment vehicles controlled or managed by such partnership;</w:t>
      </w:r>
    </w:p>
    <w:p>
      <w:pPr>
        <w:spacing w:after="0" w:line="200" w:lineRule="exact"/>
        <w:rPr>
          <w:sz w:val="20"/>
          <w:szCs w:val="20"/>
          <w:color w:val="auto"/>
        </w:rPr>
      </w:pPr>
    </w:p>
    <w:p>
      <w:pPr>
        <w:spacing w:after="0" w:line="20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4.2.7 if the Holder is a trust, Transfers of shares of Common Stock or any security convertible into or exercisable or exchangeable for Common Stock to a trustor or beneficiary of such trust or to the estate of a beneficiary of such trust;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4.2.8 Transfers of shares of Common Stock or any security convertible into or exercisable or exchangeable for Common Stock to the Company’s or the Holder’s officers, directors, members, consultants or their affiliates;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4.2.9 pledges of shares of Common Stock or any security convertible into or exercisable or exchangeable for Common Stock as security or collateral in connection with any borrowing or the incurrence of any indebtedness by any Holder (provided such borrowing or incurrence of indebtedness is secured by a portfolio of assets or equity interests issued by multiple issuers);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4.2.10 Transfers of shares of Common Stock or any security convertible into or exercisable or exchangeable for Common Stock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third-party tender offer, merger, asset acquisition, stock sale, recapitalization, consolidation, business combination or other transaction or series of related transactions involving a Change in Control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asset acquisition, stock sale, recapitalization, consolidation, business combination or other such transaction is not completed, the securities subject to this Agreement shall remain subject to this Agreement;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4.2.11 Transfers of shares of Common Stock or any security convertible into or exercisable or exchangeable for Common Stock to the Company in connection with the liquidation or dissolution of the Company by virtue of the laws of the state of the Company’s organization and the Company’s organizational documents;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4.2.12 the establishment of a trading plan pursuant to Rule 10b5-1 promulgated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plan does not provide for the Transfer of any shares of Common Stock or any security convertible into or exercisable or exchangeable for Common Stock during the Lock-Up Period; and</w:t>
      </w:r>
    </w:p>
    <w:p>
      <w:pPr>
        <w:spacing w:after="0" w:line="17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4.2.13 Transfers of shares of Common Stock or any security convertible into or exercisable or exchangeable for Common Stock to satisfy any U.S. federal, state, or local income tax obligations of the Lock-up Party (or its direct or indirect owners) arising from a change in the U.S.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or the U.S. Treasury Regulations promulgated thereunder (the “</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after the date on which the Merger Agreement was executed by the parties, and such change prevents the Merger from qualifying as a “reorganization” pursuant to Section 368 of the Code (and the Merger does not qualify for similar tax-free treatment pursuant to any successor or other provision of the Code or Regulations taking into account such changes), in each case solely and to the extent necessary to cover any tax liability as a direct result of the transaction;</w:t>
      </w:r>
    </w:p>
    <w:p>
      <w:pPr>
        <w:spacing w:after="0" w:line="18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PROVIDED, THAT IN THE CASE OF ANY TRANSFER OR DISTRIBUTION PURSUANT TO SECTIONS 4.2.2 THROUGH 4.2.9 AND 4.2.13, EACH DONEE, DISTRIBUTEE OR OTHER TRANSFEREE SHALL AGREE IN WRITING, IN FORM AND SUBSTANCE REASONABLY SATISFACTORY TO THE COMPANY, TO BE BOUND BY THE PROVISIONS OF THIS AGREEMENT.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Null and Void</w:t>
      </w:r>
      <w:r>
        <w:rPr>
          <w:rFonts w:ascii="Times New Roman" w:cs="Times New Roman" w:eastAsia="Times New Roman" w:hAnsi="Times New Roman"/>
          <w:sz w:val="18"/>
          <w:szCs w:val="18"/>
          <w:color w:val="auto"/>
        </w:rPr>
        <w:t xml:space="preserve">. If any Transfer of shares of Common Stock prior to the end of the Lock-up Period is made or attempted contrary to the provisions of this Agreement, such purported Transfer shall be null and void </w:t>
      </w:r>
      <w:r>
        <w:rPr>
          <w:rFonts w:ascii="Times New Roman" w:cs="Times New Roman" w:eastAsia="Times New Roman" w:hAnsi="Times New Roman"/>
          <w:sz w:val="18"/>
          <w:szCs w:val="18"/>
          <w:i w:val="1"/>
          <w:iCs w:val="1"/>
          <w:color w:val="auto"/>
        </w:rPr>
        <w:t>ab initi</w:t>
      </w:r>
      <w:r>
        <w:rPr>
          <w:rFonts w:ascii="Times New Roman" w:cs="Times New Roman" w:eastAsia="Times New Roman" w:hAnsi="Times New Roman"/>
          <w:sz w:val="18"/>
          <w:szCs w:val="18"/>
          <w:color w:val="auto"/>
        </w:rPr>
        <w:t>o, and the Company shall refuse to recognize any such purported transferee of the Common Stock as one of its equityholders for any purpose.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During the Lock-up Period, each certificate evidencing any Common Stock shall be stamped or otherwise imprinted with a legend in substantially the following form, in addition to any other applicable legends: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ARE SUBJECT TO RESTRICTIONS ON TRANSFER SET FORTH IN AN AMENDED AND RESTATED REGISTRATION RIGHTS AGREEMENT, DATED AS OF [•], 2022 (AS MAY BE AMENDED OR RESTATED FROM TIME TO TIME), A COPY OF WHICH IS ON FILE WITH THE SECRETARY OF THE COMPANY. NO TRANSFER, SALE, ASSIGNMENT, PLEDGE, HYPOTHECATION OR OTHER DISPOSITION OF THE SECURITIES REPRESENTED BY THIS CERTIFICATE MAY BE MADE EXCEPT IN ACCORDANCE WITH THE PROVISIONS OF SUCH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Promptly upon the expiration of the Lock-up Period, the Company shall cause the removal of such legend and, if determined appropriate by the Company, any restrictive legend related to compliance with the federal securities laws from the certificates evidencing the Common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0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5.1.1 The Company agrees to indemnify and hold harmless, to the extent permitted by law, each Holder of Registrable Securities, its partners, members, managers, officers, directors and agents and each person or entity who controls such Holder (within the meaning of the Securities Act) against all losses, claims, damages, liabilities and out-of-pocket expenses (including without limitation actual, reasonable and documented attorneys’ fees or other fees and expenses incurred thereby in connection with investigating or defending any such claim or proceeding), caused by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or affidavit so furnished in writing to the Company by such Holder expressly for use therein). The Company shall indemnify the Underwriters, their officers and directors and each person or entity who controls such Underwriters (within the meaning of the Securities Act) to the same extent as provided in the foregoing with respect to the indemnification of the Holder.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4" w:name="page135"/>
    <w:bookmarkEnd w:id="13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5.1.2 In connection with any Registration Statement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w:t>
      </w:r>
      <w:r>
        <w:rPr>
          <w:rFonts w:ascii="Times New Roman" w:cs="Times New Roman" w:eastAsia="Times New Roman" w:hAnsi="Times New Roman"/>
          <w:sz w:val="18"/>
          <w:szCs w:val="18"/>
          <w:b w:val="1"/>
          <w:bCs w:val="1"/>
          <w:i w:val="1"/>
          <w:iCs w:val="1"/>
          <w:color w:val="auto"/>
        </w:rPr>
        <w:t>Holder Information</w:t>
      </w:r>
      <w:r>
        <w:rPr>
          <w:rFonts w:ascii="Times New Roman" w:cs="Times New Roman" w:eastAsia="Times New Roman" w:hAnsi="Times New Roman"/>
          <w:sz w:val="18"/>
          <w:szCs w:val="18"/>
          <w:color w:val="auto"/>
        </w:rPr>
        <w:t xml:space="preserve">”) and, to the extent permitted by law, shall indemnify the Company, its directors, officers and agents and each person or entity who controls the Company (within the meaning of the Securities Act) against any losses, claims, damages, liabilities and out-of-pocket expenses (including without limitation actual, reasonable and documented attorneys’ fees) resulting from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is contained in (or not contained in, in the case of an omission) the Holder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5.1.3 Any person or entity entitled to indemnification herein shall (i) give prompt written notice to the indemnifying party of any claim with respect to which it seeks indemnification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failure to give prompt notice shall not impair any person’s or entity’s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(1) counsel (plus one (1)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19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5.1.4 The indemnification provided for under this Agreement shall remain in full force and effect regardless of any investigation made by or on behalf of the indemnified party or any officer, director or controlling person or entity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5.1.5 If the indemnification provided under Section 5.1 hereof from the indemnifying party is unavailable or insufficient to hold harmless an 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and the benefits received by such indemnified party or indemnifying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liability of any Holder under this Section 5.1.5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Sections 5.1.1, 5.1.2 and 5.1.3 above, any legal or other fees, charges or out-of-pocket expenses reasonably incurred by such party in connection with any investigation or proceeding. The parties hereto agree that it would not be just and equitable if contribution pursuant to this Section 5.1.5 were determined by pro rata allocation or by any other method of allocation, which does not take account of the equitable considerations referred to in this Section 5.1.5. No person or entity guilty of fraudulent misrepresentation (within the meaning of Section 11(f) of the Securities Act) shall be entitled to contribution pursuant to this Section 5.1.5 from any person or entity who was not guilty of such fraudulent misrepresentation.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(a) if by hand or recognized courier service, by 4:00PM on a business day, addressee’s day and time, on the date of delivery, and otherwise on the first business day after such delivery; (b) if by fax or email, on the date that transmission is confirmed electronically, if by 4:00PM on a business day, addressee’s day and time, and otherwise on the first business day after the date of such confirmation; or (c) five days after mailing by certified or registered mail, return receipt requested. Notices shall be addressed to the respective parties as follows, or to such other address as a party shall specify to the others in accordance with this Section 6.1:</w:t>
      </w: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Orchestra BioMed,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150 Union Square Drive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Hope PA 18938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David Hochman, Chairman &amp; CEO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DHochman@orchestrabiomed.com,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10166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Samuel A. Waxman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samuelwaxman@paulhastings.com;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any Holder, at such Holder’s address or contact information as set forth in the Company’s books and records.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Assignment; No Third-Party Beneficiaries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6.2.1 This Agreement and the rights, duties and obligations of the Company hereunder may not be assigned or delegated by the Company in whole or in part.</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6.2.2 Subject to Section 6.2.4 and Section 6.2.5, this Agreement and the rights, duties and obligations of a Holder hereunder may be assigned in whole or in part to such Holder’s Permitted Transferees;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(a)(i) the Legacy Orchestra Equityholders shall be permitted to transfer their rights hereunder as a Legacy Orchestra Equityholder to one or more affiliates or any direct or indirect partners, members or equity holders of the Legacy Orchestra Equityholders (it being understood that no such transfer shall reduce any rights of the Legacy Orchestra Equityholders or such transferees) and (ii) the Sponsor Equityholders shall be permitted to transfer their rights hereunder as the Sponsor Equityholders to one or more of their respective affiliates or any direct or indirect partners, members or equity holders of the Sponsor Equityholders (it being understood that no such transfer shall reduce any rights of the Sponsor Equityholders or such transferees).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6" w:name="page137"/>
    <w:bookmarkEnd w:id="136"/>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6.2.3 This Agreement and the provisions hereof shall be binding upon and shall inure to the benefit of each of the parties and its successors and the permitted assigns of the Holders, which shall include Permitted Transferees.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6.2.4 This Agreement shall not confer any rights or benefits on any persons or entities that are not parties hereto, other than as expressly set forth in this Agreement and Section 6.2 hereof.</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6.2.5 No assignment by any party hereto of such party’s rights, duties and obligations hereunder shall be binding upon or obligate the Company unless and until the Company shall have received (i) written notice of such assignment as provided in Section 6.1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Section 6.2 shall be null and void.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separate counterparts, each of which shall constitute an original, and all of which together shall constitute one and the same agreement binding on all the parties hereto. This Agreement shall become effective upon delivery to each party of an executed counterpart or the earlier delivery to each party of original, photocopied, or electronically transmitted signature pages that together (but need not individually) bear the signatures of all other parties. For the avoidance of doubt, each party agrees that an electronic copy of this Agreement shall be considered and treated like an original, and that an electronic or digital signature shall be as valid as a handwritten signature (including .pdf or any electronic signature complying with the U.S. federal ESIGN Act of 2000 (e.g., www.docusign.com)).</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Agreement shall be construed in accordance with and governed by the laws of the State of Delaware, without giving effect to the conflict of laws principles thereof. Any Action based upon, arising out of or related to this Agreement or the transactions contemplated hereby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(i) submits to the exclusive jurisdiction of each such court in any such proceeding or Action, (ii) waives any objection it may now or hereafter have to personal jurisdiction, venue or to convenience of forum, (iii) agrees that all claims in respect of the proceeding or Action shall be heard and determined only in any such court, and (iv) agrees not to bring any proceeding or Action arising out of or relating to this Agreement or the transactions contemplated hereby in any other court. Nothing herein contained shall be deemed to affect the right of any party to serve process in any manner permitted by Law or to commence Proceedings or otherwise proceed against any other party in any other jurisdiction, in each case, to enforce judgments obtained in any Action brought pursuant to this Section 6.4.</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PARTIES TO THIS AGREEMENT HEREBY KNOWINGLY, VOLUNTARILY AND IRREVOCABLY WAIVE ANY RIGHT EACH SUCH PARTY MAY HAVE TO TRIAL BY JURY IN ANY ACTION OF ANY KIND OR NATURE, IN ANY COURT IN WHICH AN ACTION MAY BE COMMENCED, ARISING OUT OF OR IN CONNECTION WITH THIS AGREEMENT OR ANY ADDITIONAL AGREEMENT, OR BY REASON OF ANY OTHER CAUSE OR DISPUTE WHATSOEVER BETWEEN OR AMONG ANY OF THE PARTIES TO THIS AGREEMENT OF ANY KIND OR NATURE. NO PARTY SHALL BE AWARDED PUNITIVE OR OTHER EXEMPLARY DAMAGES RESPECTING ANY DISPUTE ARISING UNDER THIS AGREEMENT OR ANY ADDITIONAL AGREEMENT.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xml:space="preserve">. Upon the written consent of the Company, the Holders of a majority-in-interest of the Registrable Securities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any amendment hereto or waiver hereof that (i) adversely affects one Holder, solely in its capacity as a holder of the shares of capital stock of the Company, in a manner that is materially different from the other Holders (in such capacity) shall require the consent of the Holder so affected, (ii) any amendment or waiver hereof that adversely affects the rights of Sponsor (or its successor) shall require the consent of the Sponsor (or its successor), (iii) any amendment or waiver hereof that adversely affects the rights of Covidien Group (or its successor) shall require the consent of Covidien Group (or its successor), and (iv) any amendment or waiver hereof that adversely affects the rights of the Legacy Orchestra Equityholders shall require the consent a majority-in-interest of the Registrable Securities held by the Legacy Orchestra Equityholders at the time in question.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The Company represents and warrants that no person or entity,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or entity.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 This Agreement supersedes, and amends and restates in its entirety, the Prior Agreement.</w:t>
      </w:r>
    </w:p>
    <w:p>
      <w:pPr>
        <w:spacing w:after="0" w:line="17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upon the earlier of (i)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date of this Agreement, (ii) the date as of which all of the Registrable Securities have been sold or disposed of, or (iii) with respect to any particular Holder, on the date such Holder no longer holds Registrable Securities. The provisions of Section 3.5 and Article V shall survive any termination.</w:t>
      </w:r>
    </w:p>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Each Holder agrees, if requested in writing, to represent to the Company the total number of Registrable Securities held by such Holder in order for the Company to make determinations hereunder.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8" w:name="page139"/>
    <w:bookmarkEnd w:id="13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Amended and Restated Registration Rights Agreement to be executed and delivered by their duly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ORCHESTRA BIOMED,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Hochman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SPONSOR EQUITYHOLDERS: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HSAC 2 HOLDINGS,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Pedro Granadillo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Stuart Peltz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Brophy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Carsten Boess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Innovation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Venture Fund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RTW Investments, LP, its Investment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LEGACY ORCHESTRA EQUITYHOLDERS: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373"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40" w:name="page141"/>
    <w:bookmarkEnd w:id="140"/>
    <w:p>
      <w:pPr>
        <w:jc w:val="center"/>
        <w:ind w:right="-1100"/>
        <w:spacing w:after="0"/>
        <w:rPr>
          <w:sz w:val="20"/>
          <w:szCs w:val="20"/>
          <w:color w:val="auto"/>
        </w:rPr>
      </w:pPr>
      <w:r>
        <w:rPr>
          <w:rFonts w:ascii="Times New Roman" w:cs="Times New Roman" w:eastAsia="Times New Roman" w:hAnsi="Times New Roman"/>
          <w:sz w:val="17"/>
          <w:szCs w:val="17"/>
          <w:color w:val="auto"/>
        </w:rPr>
        <w:t>SCHEDULE A – SPONSOR EQUITYHOLDERS</w:t>
      </w:r>
    </w:p>
    <w:p>
      <w:pPr>
        <w:spacing w:after="0" w:line="23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Name and Address of Equityholder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HSAC 2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Pedro Granadillo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Stuart Peltz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Brophy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Carsten Boess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Master Fund,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Innovation Master Fund,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Venture Fund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37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8260" w:type="dxa"/>
            <w:vAlign w:val="bottom"/>
            <w:gridSpan w:val="3"/>
          </w:tcPr>
          <w:p>
            <w:pPr>
              <w:jc w:val="center"/>
              <w:ind w:right="2980"/>
              <w:spacing w:after="0"/>
              <w:rPr>
                <w:sz w:val="20"/>
                <w:szCs w:val="20"/>
                <w:color w:val="auto"/>
              </w:rPr>
            </w:pPr>
            <w:r>
              <w:rPr>
                <w:rFonts w:ascii="Times New Roman" w:cs="Times New Roman" w:eastAsia="Times New Roman" w:hAnsi="Times New Roman"/>
                <w:sz w:val="18"/>
                <w:szCs w:val="18"/>
                <w:color w:val="auto"/>
              </w:rPr>
              <w:t>SCHEDULE B – LEGACY ORCHESTRA EQUITYHOLDERS</w:t>
            </w:r>
          </w:p>
        </w:tc>
        <w:tc>
          <w:tcPr>
            <w:tcW w:w="0" w:type="dxa"/>
            <w:vAlign w:val="bottom"/>
          </w:tcPr>
          <w:p>
            <w:pPr>
              <w:spacing w:after="0"/>
              <w:rPr>
                <w:sz w:val="1"/>
                <w:szCs w:val="1"/>
                <w:color w:val="auto"/>
              </w:rPr>
            </w:pPr>
          </w:p>
        </w:tc>
      </w:tr>
      <w:tr>
        <w:trPr>
          <w:trHeight w:val="432"/>
        </w:trPr>
        <w:tc>
          <w:tcPr>
            <w:tcW w:w="2980" w:type="dxa"/>
            <w:vAlign w:val="bottom"/>
          </w:tcPr>
          <w:p>
            <w:pPr>
              <w:spacing w:after="0"/>
              <w:rPr>
                <w:sz w:val="24"/>
                <w:szCs w:val="24"/>
                <w:color w:val="auto"/>
              </w:rPr>
            </w:pPr>
          </w:p>
        </w:tc>
        <w:tc>
          <w:tcPr>
            <w:tcW w:w="8260" w:type="dxa"/>
            <w:vAlign w:val="bottom"/>
            <w:gridSpan w:val="3"/>
          </w:tcPr>
          <w:p>
            <w:pPr>
              <w:jc w:val="center"/>
              <w:ind w:right="2980"/>
              <w:spacing w:after="0"/>
              <w:rPr>
                <w:sz w:val="20"/>
                <w:szCs w:val="20"/>
                <w:color w:val="auto"/>
              </w:rPr>
            </w:pPr>
            <w:r>
              <w:rPr>
                <w:rFonts w:ascii="Times New Roman" w:cs="Times New Roman" w:eastAsia="Times New Roman" w:hAnsi="Times New Roman"/>
                <w:sz w:val="18"/>
                <w:szCs w:val="18"/>
                <w:color w:val="auto"/>
              </w:rPr>
              <w:t>Name and Address of Equityholder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380" w:type="dxa"/>
            <w:vAlign w:val="bottom"/>
            <w:shd w:val="clear" w:color="auto" w:fill="FFFF00"/>
          </w:tcPr>
          <w:p>
            <w:pPr>
              <w:jc w:val="center"/>
              <w:spacing w:after="0" w:line="202" w:lineRule="exact"/>
              <w:rPr>
                <w:sz w:val="20"/>
                <w:szCs w:val="20"/>
                <w:color w:val="auto"/>
              </w:rPr>
            </w:pPr>
            <w:r>
              <w:rPr>
                <w:rFonts w:ascii="Times New Roman" w:cs="Times New Roman" w:eastAsia="Times New Roman" w:hAnsi="Times New Roman"/>
                <w:sz w:val="18"/>
                <w:szCs w:val="18"/>
                <w:color w:val="auto"/>
                <w:highlight w:val="yellow"/>
                <w:w w:val="99"/>
              </w:rPr>
              <w:t>[SUBJECT TO COMPLETION]</w:t>
            </w:r>
          </w:p>
        </w:tc>
        <w:tc>
          <w:tcPr>
            <w:tcW w:w="4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RTW Master Fund, Ltd.</w:t>
            </w:r>
          </w:p>
        </w:tc>
        <w:tc>
          <w:tcPr>
            <w:tcW w:w="1460" w:type="dxa"/>
            <w:vAlign w:val="bottom"/>
          </w:tcPr>
          <w:p>
            <w:pPr>
              <w:spacing w:after="0"/>
              <w:rPr>
                <w:sz w:val="24"/>
                <w:szCs w:val="24"/>
                <w:color w:val="auto"/>
              </w:rPr>
            </w:pPr>
          </w:p>
        </w:tc>
        <w:tc>
          <w:tcPr>
            <w:tcW w:w="68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Pam Connealy</w:t>
            </w: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40 10th Avenue, Floor 7</w:t>
            </w:r>
          </w:p>
        </w:tc>
        <w:tc>
          <w:tcPr>
            <w:tcW w:w="146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Orchestra BioMed, Inc.</w:t>
            </w: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York, New York 10014</w:t>
            </w:r>
          </w:p>
        </w:tc>
        <w:tc>
          <w:tcPr>
            <w:tcW w:w="146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150 Union Square Drive</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New Hope, PA 18938</w:t>
            </w:r>
          </w:p>
        </w:tc>
        <w:tc>
          <w:tcPr>
            <w:tcW w:w="0" w:type="dxa"/>
            <w:vAlign w:val="bottom"/>
          </w:tcPr>
          <w:p>
            <w:pPr>
              <w:spacing w:after="0"/>
              <w:rPr>
                <w:sz w:val="1"/>
                <w:szCs w:val="1"/>
                <w:color w:val="auto"/>
              </w:rPr>
            </w:pP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RTW Innovation Master Fund, Ltd.</w:t>
            </w:r>
          </w:p>
        </w:tc>
        <w:tc>
          <w:tcPr>
            <w:tcW w:w="1460" w:type="dxa"/>
            <w:vAlign w:val="bottom"/>
          </w:tcPr>
          <w:p>
            <w:pPr>
              <w:spacing w:after="0"/>
              <w:rPr>
                <w:sz w:val="24"/>
                <w:szCs w:val="24"/>
                <w:color w:val="auto"/>
              </w:rPr>
            </w:pPr>
          </w:p>
        </w:tc>
        <w:tc>
          <w:tcPr>
            <w:tcW w:w="68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Geoffrey W Smith</w:t>
            </w: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40 10th Avenue, Floor 7</w:t>
            </w:r>
          </w:p>
        </w:tc>
        <w:tc>
          <w:tcPr>
            <w:tcW w:w="146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Orchestra BioMed, Inc.</w:t>
            </w: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York, New York 10014</w:t>
            </w:r>
          </w:p>
        </w:tc>
        <w:tc>
          <w:tcPr>
            <w:tcW w:w="1460" w:type="dxa"/>
            <w:vAlign w:val="bottom"/>
          </w:tcPr>
          <w:p>
            <w:pPr>
              <w:spacing w:after="0"/>
              <w:rPr>
                <w:sz w:val="18"/>
                <w:szCs w:val="18"/>
                <w:color w:val="auto"/>
              </w:rPr>
            </w:pPr>
          </w:p>
        </w:tc>
        <w:tc>
          <w:tcPr>
            <w:tcW w:w="68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150 Union Square Drive</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New Hope, PA 18938</w:t>
            </w:r>
          </w:p>
        </w:tc>
        <w:tc>
          <w:tcPr>
            <w:tcW w:w="0" w:type="dxa"/>
            <w:vAlign w:val="bottom"/>
          </w:tcPr>
          <w:p>
            <w:pPr>
              <w:spacing w:after="0"/>
              <w:rPr>
                <w:sz w:val="1"/>
                <w:szCs w:val="1"/>
                <w:color w:val="auto"/>
              </w:rPr>
            </w:pP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RTW Venture Fund Limited</w:t>
            </w:r>
          </w:p>
        </w:tc>
        <w:tc>
          <w:tcPr>
            <w:tcW w:w="1460" w:type="dxa"/>
            <w:vAlign w:val="bottom"/>
          </w:tcPr>
          <w:p>
            <w:pPr>
              <w:spacing w:after="0"/>
              <w:rPr>
                <w:sz w:val="24"/>
                <w:szCs w:val="24"/>
                <w:color w:val="auto"/>
              </w:rPr>
            </w:pPr>
          </w:p>
        </w:tc>
        <w:tc>
          <w:tcPr>
            <w:tcW w:w="68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Covidien Group S.à.r.l.</w:t>
            </w: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40 10th Avenue, Floor 7</w:t>
            </w: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York, New York 10014</w:t>
            </w:r>
          </w:p>
        </w:tc>
        <w:tc>
          <w:tcPr>
            <w:tcW w:w="14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 Hochman</w:t>
            </w:r>
          </w:p>
        </w:tc>
        <w:tc>
          <w:tcPr>
            <w:tcW w:w="1460" w:type="dxa"/>
            <w:vAlign w:val="bottom"/>
          </w:tcPr>
          <w:p>
            <w:pPr>
              <w:spacing w:after="0"/>
              <w:rPr>
                <w:sz w:val="24"/>
                <w:szCs w:val="24"/>
                <w:color w:val="auto"/>
              </w:rPr>
            </w:pPr>
          </w:p>
        </w:tc>
        <w:tc>
          <w:tcPr>
            <w:tcW w:w="68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[First Riverside]</w:t>
            </w: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Orchestra BioMed, Inc.</w:t>
            </w: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 Union Square Drive</w:t>
            </w: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Hope, PA 18938</w:t>
            </w:r>
          </w:p>
        </w:tc>
        <w:tc>
          <w:tcPr>
            <w:tcW w:w="14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Darren Sherman</w:t>
            </w:r>
          </w:p>
        </w:tc>
        <w:tc>
          <w:tcPr>
            <w:tcW w:w="1460" w:type="dxa"/>
            <w:vAlign w:val="bottom"/>
          </w:tcPr>
          <w:p>
            <w:pPr>
              <w:spacing w:after="0"/>
              <w:rPr>
                <w:sz w:val="24"/>
                <w:szCs w:val="24"/>
                <w:color w:val="auto"/>
              </w:rPr>
            </w:pPr>
          </w:p>
        </w:tc>
        <w:tc>
          <w:tcPr>
            <w:tcW w:w="68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[Perceptive]</w:t>
            </w: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Orchestra BioMed, Inc.</w:t>
            </w: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 Union Square Drive</w:t>
            </w: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Hope, PA 18938</w:t>
            </w:r>
          </w:p>
        </w:tc>
        <w:tc>
          <w:tcPr>
            <w:tcW w:w="14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Michael Kaswan</w:t>
            </w:r>
          </w:p>
        </w:tc>
        <w:tc>
          <w:tcPr>
            <w:tcW w:w="1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Orchestra BioMed, Inc.</w:t>
            </w: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 Union Square Drive</w:t>
            </w: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Hope, PA 18938</w:t>
            </w:r>
          </w:p>
        </w:tc>
        <w:tc>
          <w:tcPr>
            <w:tcW w:w="14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Yuval Mika</w:t>
            </w:r>
          </w:p>
        </w:tc>
        <w:tc>
          <w:tcPr>
            <w:tcW w:w="1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Orchestra BioMed, Inc.</w:t>
            </w: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 Union Square Drive</w:t>
            </w: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Hope, PA 18938</w:t>
            </w:r>
          </w:p>
        </w:tc>
        <w:tc>
          <w:tcPr>
            <w:tcW w:w="14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Eric Fain</w:t>
            </w:r>
          </w:p>
        </w:tc>
        <w:tc>
          <w:tcPr>
            <w:tcW w:w="1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Orchestra BioMed, Inc.</w:t>
            </w: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 Union Square Drive</w:t>
            </w: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Hope, PA 18938</w:t>
            </w:r>
          </w:p>
        </w:tc>
        <w:tc>
          <w:tcPr>
            <w:tcW w:w="14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Eric Rose</w:t>
            </w:r>
          </w:p>
        </w:tc>
        <w:tc>
          <w:tcPr>
            <w:tcW w:w="1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Orchestra BioMed, Inc.</w:t>
            </w: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 Union Square Drive</w:t>
            </w: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Hope, PA 18938</w:t>
            </w:r>
          </w:p>
        </w:tc>
        <w:tc>
          <w:tcPr>
            <w:tcW w:w="14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Jason Aryeh</w:t>
            </w:r>
          </w:p>
        </w:tc>
        <w:tc>
          <w:tcPr>
            <w:tcW w:w="1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Orchestra BioMed, Inc.</w:t>
            </w: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 Union Square Drive</w:t>
            </w:r>
          </w:p>
        </w:tc>
        <w:tc>
          <w:tcPr>
            <w:tcW w:w="1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Hope, PA 18938</w:t>
            </w:r>
          </w:p>
        </w:tc>
        <w:tc>
          <w:tcPr>
            <w:tcW w:w="14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5"/>
        </w:trPr>
        <w:tc>
          <w:tcPr>
            <w:tcW w:w="29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ORCHESTRA BIOMED HOLDINGS, INC.</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Orchestra Biomed Holdings, Inc. (hereinafter called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 and the name of the registered agent of the Corporation in the State of Delaware at such address is [•].</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by the Corporation is to engage in any lawful act or activity for which corporations may be organized under the General Corporation Law of the State of Delaware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Corporation is authorized to issue two classes of stock to be designated, respectively, “Common Stock,” and “Preferred Stock.”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shares that the Corporation is authorized to issue is [•] shares, [•] shares of which shall be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 shares of which shall be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Preferred Stock shall have a par value of $0.0001 per share and the Common Stock shall have a par value of $0.0001 per share.</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Preferred Stock may be issued from time to time in one or more series, the shares of each series to have such designations and 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preferences, privileges and rights, and qualifications, limitations and restrictions thereof, as are stated and expressed herein and in the resolution or resolutions providing for the issue of such series adopted by the Board of Directors as hereafter prescribed (a “</w:t>
      </w:r>
      <w:r>
        <w:rPr>
          <w:rFonts w:ascii="Times New Roman" w:cs="Times New Roman" w:eastAsia="Times New Roman" w:hAnsi="Times New Roman"/>
          <w:sz w:val="18"/>
          <w:szCs w:val="18"/>
          <w:b w:val="1"/>
          <w:bCs w:val="1"/>
          <w:i w:val="1"/>
          <w:iCs w:val="1"/>
          <w:color w:val="auto"/>
        </w:rPr>
        <w:t>Preferred Stock Designation</w:t>
      </w:r>
      <w:r>
        <w:rPr>
          <w:rFonts w:ascii="Times New Roman" w:cs="Times New Roman" w:eastAsia="Times New Roman" w:hAnsi="Times New Roman"/>
          <w:sz w:val="18"/>
          <w:szCs w:val="18"/>
          <w:color w:val="auto"/>
        </w:rPr>
        <w:t>”). Subject to any limitation prescribed by law and the rights of any series of the Preferred Stock then outstanding, if any, authority is hereby expressly granted to and vested in the Board of Directors to authorize the issuance of all or any of the shares of the Preferred Stock in one or more series, and, with respect to each series of Preferred Stock, to fix the number of shares and state by the Preferred Stock Designation, the designations, powers, preferences, privileges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(but not above the authorized number of shares of Preferred Stock) or decrease (but not below the number of shares of such series then outstanding) the number of shares of any series subsequent to the issuance of shares of that series.</w:t>
      </w:r>
    </w:p>
    <w:p>
      <w:pPr>
        <w:spacing w:after="0" w:line="18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number of authorized shares of Preferred Stock, or Common Stock may be increased or decreased (but not below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then outstanding) by the affirmative vote of the holders of a majority of the voting power of all of the outstanding shares of stock of the Corporation entitled to vote thereon, without a separate vote of the holders of the Preferred Stock, or of any series thereof, or Common Stock, irrespective of the provisions of Section 242(b)(2) of the DGCL, unless a vote of any such holders is required pursuant to the terms of any Preferred Stock Designation filed with respect to any series of Preferred Stock.</w:t>
      </w:r>
    </w:p>
    <w:p>
      <w:pPr>
        <w:spacing w:after="0" w:line="179" w:lineRule="exact"/>
        <w:rPr>
          <w:sz w:val="20"/>
          <w:szCs w:val="20"/>
          <w:color w:val="auto"/>
        </w:rPr>
      </w:pPr>
    </w:p>
    <w:p>
      <w:pPr>
        <w:ind w:right="9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Except as provided above, the designations, powers, preferences, privileges and relative participating, optional, or other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qualifications, limitations, or restrictions of the Common Stock are as follows:</w:t>
      </w:r>
    </w:p>
    <w:p>
      <w:pPr>
        <w:spacing w:after="0" w:line="155" w:lineRule="exact"/>
        <w:rPr>
          <w:sz w:val="20"/>
          <w:szCs w:val="20"/>
          <w:color w:val="auto"/>
        </w:rPr>
      </w:pPr>
    </w:p>
    <w:p>
      <w:pPr>
        <w:ind w:right="20" w:firstLine="1304"/>
        <w:spacing w:after="0" w:line="257" w:lineRule="auto"/>
        <w:tabs>
          <w:tab w:leader="none" w:pos="1476"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Relating to Dividends, Subdivisions and Combinations</w:t>
      </w:r>
      <w:r>
        <w:rPr>
          <w:rFonts w:ascii="Times New Roman" w:cs="Times New Roman" w:eastAsia="Times New Roman" w:hAnsi="Times New Roman"/>
          <w:sz w:val="18"/>
          <w:szCs w:val="18"/>
          <w:color w:val="auto"/>
        </w:rPr>
        <w:t>. Subject to the prior rights of holders of all classes and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at the time outstanding having prior rights as to dividends, the holders of the Common Stock shall be entitled to receive, when, as and if declared by the Board of Directors, out of any assets of the Corporation legally available therefor, such dividends as may be declared from time to time by the Board of Directors. Any dividends paid to the holders of shares of Common Stock shall be paid pro rata, on an equal priority, pari passu basis, unless different treatment of the shares of each such class is approved by the affirmative vote of the holders of a majority of the outstanding shares of the applicable class of Common Stock treated adversely, voting separately as a class.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3" w:name="page144"/>
    <w:bookmarkEnd w:id="143"/>
    <w:p>
      <w:pPr>
        <w:ind w:left="1480" w:hanging="176"/>
        <w:spacing w:after="0"/>
        <w:tabs>
          <w:tab w:leader="none" w:pos="148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160" w:firstLine="1952"/>
        <w:spacing w:after="0" w:line="268" w:lineRule="auto"/>
        <w:tabs>
          <w:tab w:leader="none" w:pos="2199" w:val="left"/>
        </w:tabs>
        <w:numPr>
          <w:ilvl w:val="1"/>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required by law or this Certificate of Incorporation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(including any Preferred Stock Designation), at any annual or special meeting of the stockholders of the Corporation, holders of the Common Stock shall have the exclusive right to vote for the election of directors and on all other matters properly submitted to a vote of the stockholders.</w:t>
      </w:r>
    </w:p>
    <w:p>
      <w:pPr>
        <w:spacing w:after="0" w:line="174" w:lineRule="exact"/>
        <w:rPr>
          <w:rFonts w:ascii="Times New Roman" w:cs="Times New Roman" w:eastAsia="Times New Roman" w:hAnsi="Times New Roman"/>
          <w:sz w:val="18"/>
          <w:szCs w:val="18"/>
          <w:b w:val="1"/>
          <w:bCs w:val="1"/>
          <w:color w:val="auto"/>
        </w:rPr>
      </w:pPr>
    </w:p>
    <w:p>
      <w:pPr>
        <w:ind w:right="300" w:firstLine="1952"/>
        <w:spacing w:after="0" w:line="266" w:lineRule="auto"/>
        <w:tabs>
          <w:tab w:leader="none" w:pos="2209" w:val="left"/>
        </w:tabs>
        <w:numPr>
          <w:ilvl w:val="1"/>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required by law or the Certificate of Incorporation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175" w:lineRule="exact"/>
        <w:rPr>
          <w:rFonts w:ascii="Times New Roman" w:cs="Times New Roman" w:eastAsia="Times New Roman" w:hAnsi="Times New Roman"/>
          <w:sz w:val="18"/>
          <w:szCs w:val="18"/>
          <w:b w:val="1"/>
          <w:bCs w:val="1"/>
          <w:color w:val="auto"/>
        </w:rPr>
      </w:pPr>
    </w:p>
    <w:p>
      <w:pPr>
        <w:ind w:right="340" w:firstLine="1952"/>
        <w:spacing w:after="0" w:line="261" w:lineRule="auto"/>
        <w:tabs>
          <w:tab w:leader="none" w:pos="2188" w:val="left"/>
        </w:tabs>
        <w:numPr>
          <w:ilvl w:val="1"/>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required by applicable law, holders of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applicable law.</w:t>
      </w:r>
    </w:p>
    <w:p>
      <w:pPr>
        <w:spacing w:after="0" w:line="175" w:lineRule="exact"/>
        <w:rPr>
          <w:rFonts w:ascii="Times New Roman" w:cs="Times New Roman" w:eastAsia="Times New Roman" w:hAnsi="Times New Roman"/>
          <w:sz w:val="18"/>
          <w:szCs w:val="18"/>
          <w:b w:val="1"/>
          <w:bCs w:val="1"/>
          <w:color w:val="auto"/>
        </w:rPr>
      </w:pPr>
    </w:p>
    <w:p>
      <w:pPr>
        <w:ind w:left="1480" w:hanging="176"/>
        <w:spacing w:after="0"/>
        <w:tabs>
          <w:tab w:leader="none" w:pos="148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the Corporation, upon the completion of the distributions required with respect to each series of Preferred Stock that may then be outstanding, the remaining assets of the Corporation legally available for distribution to stockholders shall be distributed on an equal priority, pro rata basis to the holders of Common Stock, unless different treatment of the shares of each such class is approved by the affirmative vote of the holders of a majority of the outstanding shares of Common Stock; provided, however, for the avoidance of doubt, compensation pursuant to any employment, consulting, severance or other compensatory arrangement to be paid to or received by a person who is also a holder of Common Stock does not constitute consideration or a “distribution to stockholders” in respect of the Common Stock.</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5" w:lineRule="exact"/>
        <w:rPr>
          <w:sz w:val="20"/>
          <w:szCs w:val="20"/>
          <w:color w:val="auto"/>
        </w:rPr>
      </w:pPr>
    </w:p>
    <w:p>
      <w:pPr>
        <w:ind w:right="20"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color w:val="auto"/>
        </w:rPr>
        <w:t>The liability of the directors of the Corporation for monetary damages for breach of fiduciary duty as a director shall be eliminated to the fullest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extent authorized under applicable law, unless they violated their duty of loyalty to the Corporation or its stockholders, acted in bad faith, knowingly or intentionally violated the law, authorized unlawful payments of dividends, unlawful stock purchases or unlawful redemptions, or derived improper personal benefit from their actions as directors.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64"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To the fullest extent permitted by applicable law, the Corporation is authorized to provide indemnification of (and advancement of expenses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officers and other agents of the Corporation (and any other persons to which applicable law permits the Corporation to provide indemnification) through Bylaw provisions, agreements with such agents or other persons, vote of stockholders or disinterested directors or otherwise in excess of the indemnification and advancement otherwise permitted by such applicable law.</w:t>
      </w:r>
    </w:p>
    <w:p>
      <w:pPr>
        <w:spacing w:after="0" w:line="17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If applicable law is amended after approval by the stockholders of this Article V to authorize corporate action further eliminating or limiting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liability of directors, then the liability of a director to the Corporation shall be eliminated or limited to the fullest extent permitted by applicable law as so amended. Any repeal or modification of this Article V shall only be prospective and shall not affect the rights under this Article V in effect at the time of the alleged occurrence of any action or omission to act giving rise to liability.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4" w:name="page145"/>
    <w:bookmarkEnd w:id="14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Unless the Corporation consents in writing to the selection of an alternative forum, (a) the Court of Chancery (the “</w:t>
      </w:r>
      <w:r>
        <w:rPr>
          <w:rFonts w:ascii="Times New Roman" w:cs="Times New Roman" w:eastAsia="Times New Roman" w:hAnsi="Times New Roman"/>
          <w:sz w:val="18"/>
          <w:szCs w:val="18"/>
          <w:b w:val="1"/>
          <w:bCs w:val="1"/>
          <w:i w:val="1"/>
          <w:iCs w:val="1"/>
          <w:color w:val="auto"/>
        </w:rPr>
        <w:t>Chancery Court</w:t>
      </w:r>
      <w:r>
        <w:rPr>
          <w:rFonts w:ascii="Times New Roman" w:cs="Times New Roman" w:eastAsia="Times New Roman" w:hAnsi="Times New Roman"/>
          <w:sz w:val="18"/>
          <w:szCs w:val="18"/>
          <w:color w:val="auto"/>
        </w:rPr>
        <w: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of the Corporation or this Certificate of Incorporation (as either may be amended from time to time) or (iv) any action, suit or proceeding asserting a claim against the Corporation governed by the internal affairs doctrine; and (b) subject to the preceding provisions of this Article VI, the federal district courts of the United States of America shall be the exclusive forum for the resolution of any complaint asserting a cause of action arising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87"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Any person or entity purchasing or otherwise acquiring any interest in any security of the Corporation shall be deemed to have notice 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consented to this Article VI. Notwithstanding the foregoing, the provisions of this Article VI shall not apply to suits brought to enforce any liability or duty created by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any other claim for which the federal courts of the United States have exclusive jurisdiction.</w:t>
      </w:r>
    </w:p>
    <w:p>
      <w:pPr>
        <w:spacing w:after="0" w:line="17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If any provision or provisions of this Article VI shall be held to be invalid, illegal or unenforceable as applied to any circumstance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whatsoever, (a) the validity, legality and enforceability of such provisions in any other circumstance and of the remaining provisions of this Article VI (including, without limitation, each portion of any paragraph of this Article VI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Corporation, and in further definition, limitation and regulation of the powers of the Corporation, of its directors and of its stockholders or any class thereof, as the case may be, it is further provided that: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68" w:lineRule="auto"/>
        <w:tabs>
          <w:tab w:leader="none" w:pos="1476"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Generally</w:t>
      </w:r>
      <w:r>
        <w:rPr>
          <w:rFonts w:ascii="Times New Roman" w:cs="Times New Roman" w:eastAsia="Times New Roman" w:hAnsi="Times New Roman"/>
          <w:sz w:val="18"/>
          <w:szCs w:val="18"/>
          <w:color w:val="auto"/>
        </w:rPr>
        <w:t>. The management of the business and the conduct of the affairs of the Corporation shall be vested in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authorized number of directors which shall constitute the Board of Directors shall be fixed by the Board of Directors in the manner provided in the Bylaws.</w:t>
      </w:r>
    </w:p>
    <w:p>
      <w:pPr>
        <w:spacing w:after="0" w:line="170" w:lineRule="exact"/>
        <w:rPr>
          <w:rFonts w:ascii="Times New Roman" w:cs="Times New Roman" w:eastAsia="Times New Roman" w:hAnsi="Times New Roman"/>
          <w:sz w:val="18"/>
          <w:szCs w:val="18"/>
          <w:b w:val="1"/>
          <w:bCs w:val="1"/>
          <w:color w:val="auto"/>
        </w:rPr>
      </w:pPr>
    </w:p>
    <w:p>
      <w:pPr>
        <w:ind w:left="1480" w:hanging="176"/>
        <w:spacing w:after="0"/>
        <w:tabs>
          <w:tab w:leader="none" w:pos="148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40" w:firstLine="1952"/>
        <w:spacing w:after="0" w:line="253" w:lineRule="auto"/>
        <w:tabs>
          <w:tab w:leader="none" w:pos="2199" w:val="left"/>
        </w:tabs>
        <w:numPr>
          <w:ilvl w:val="1"/>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the holders of any series of Preferred Stock to elect additional directors as specified in any Preferred Stock Designation, the directors shall be divided into three classes designated as Class I, Class II and Class III, respectively. Each class shall consist, as nearly as possible, of one-third of the total number of such directors. The Board of Directors is authorized to assign members of the Board of Directors already in office to such classes at the time the classification becomes effective. At the first annual meeting of stockholders following such initial classification of the Board of Directors, the initial term of office of the Class I directors shall expire and Class I directors shall be elected for a full term of three years. At the second annual meeting of stockholders following such initial classification of the Board of Directors, the initial term of office of the Class II directors shall expire and Class II directors shall be elected for a full term of three years. At the third annual meeting of stockholders following such initial classification of the Board of Directors, the initial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45" w:name="page146"/>
    <w:bookmarkEnd w:id="145"/>
    <w:p>
      <w:pPr>
        <w:ind w:right="20" w:firstLine="1952"/>
        <w:spacing w:after="0" w:line="266" w:lineRule="auto"/>
        <w:tabs>
          <w:tab w:leader="none" w:pos="2209" w:val="left"/>
        </w:tabs>
        <w:numPr>
          <w:ilvl w:val="2"/>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that applicable law prohibits a classified board as described in Section A.2.(a) of this Article VII, all directors shall be elected at each annual meeting of stockholders to hold office until the next annual meeting. The directors of the Corporation need not be elected by written ballot unless the Bylaws so provide.</w:t>
      </w:r>
    </w:p>
    <w:p>
      <w:pPr>
        <w:spacing w:after="0" w:line="175" w:lineRule="exact"/>
        <w:rPr>
          <w:rFonts w:ascii="Times New Roman" w:cs="Times New Roman" w:eastAsia="Times New Roman" w:hAnsi="Times New Roman"/>
          <w:sz w:val="18"/>
          <w:szCs w:val="18"/>
          <w:b w:val="1"/>
          <w:bCs w:val="1"/>
          <w:color w:val="auto"/>
        </w:rPr>
      </w:pPr>
    </w:p>
    <w:p>
      <w:pPr>
        <w:ind w:firstLine="1952"/>
        <w:spacing w:after="0" w:line="254" w:lineRule="auto"/>
        <w:tabs>
          <w:tab w:leader="none" w:pos="2188" w:val="left"/>
        </w:tabs>
        <w:numPr>
          <w:ilvl w:val="2"/>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stockholder entitled to vote at an election for directors may cumulate votes to which such stockholder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88" w:lineRule="exact"/>
        <w:rPr>
          <w:rFonts w:ascii="Times New Roman" w:cs="Times New Roman" w:eastAsia="Times New Roman" w:hAnsi="Times New Roman"/>
          <w:sz w:val="18"/>
          <w:szCs w:val="18"/>
          <w:b w:val="1"/>
          <w:bCs w:val="1"/>
          <w:color w:val="auto"/>
        </w:rPr>
      </w:pPr>
    </w:p>
    <w:p>
      <w:pPr>
        <w:ind w:right="200" w:firstLine="1952"/>
        <w:spacing w:after="0" w:line="266" w:lineRule="auto"/>
        <w:tabs>
          <w:tab w:leader="none" w:pos="2209" w:val="left"/>
        </w:tabs>
        <w:numPr>
          <w:ilvl w:val="2"/>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provisions of this section,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71" w:lineRule="exact"/>
        <w:rPr>
          <w:rFonts w:ascii="Times New Roman" w:cs="Times New Roman" w:eastAsia="Times New Roman" w:hAnsi="Times New Roman"/>
          <w:sz w:val="18"/>
          <w:szCs w:val="18"/>
          <w:b w:val="1"/>
          <w:bCs w:val="1"/>
          <w:color w:val="auto"/>
        </w:rPr>
      </w:pPr>
    </w:p>
    <w:p>
      <w:pPr>
        <w:ind w:left="1480" w:hanging="176"/>
        <w:spacing w:after="0"/>
        <w:tabs>
          <w:tab w:leader="none" w:pos="1480" w:val="left"/>
        </w:tabs>
        <w:numPr>
          <w:ilvl w:val="1"/>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of Directors</w:t>
      </w:r>
      <w:r>
        <w:rPr>
          <w:rFonts w:ascii="Times New Roman" w:cs="Times New Roman" w:eastAsia="Times New Roman" w:hAnsi="Times New Roman"/>
          <w:sz w:val="18"/>
          <w:szCs w:val="18"/>
          <w:color w:val="auto"/>
        </w:rPr>
        <w:t>. Subject to any limitations imposed by applicable law, removal shall be as provided in Section 141(k) of the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DGCL.</w:t>
      </w:r>
    </w:p>
    <w:p>
      <w:pPr>
        <w:spacing w:after="0" w:line="202" w:lineRule="exact"/>
        <w:rPr>
          <w:rFonts w:ascii="Times New Roman" w:cs="Times New Roman" w:eastAsia="Times New Roman" w:hAnsi="Times New Roman"/>
          <w:sz w:val="18"/>
          <w:szCs w:val="18"/>
          <w:b w:val="1"/>
          <w:bCs w:val="1"/>
          <w:color w:val="auto"/>
        </w:rPr>
      </w:pPr>
    </w:p>
    <w:p>
      <w:pPr>
        <w:ind w:firstLine="1304"/>
        <w:spacing w:after="0" w:line="256" w:lineRule="auto"/>
        <w:tabs>
          <w:tab w:leader="none" w:pos="1476" w:val="left"/>
        </w:tabs>
        <w:numPr>
          <w:ilvl w:val="1"/>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Vacancies</w:t>
      </w:r>
      <w:r>
        <w:rPr>
          <w:rFonts w:ascii="Times New Roman" w:cs="Times New Roman" w:eastAsia="Times New Roman" w:hAnsi="Times New Roman"/>
          <w:sz w:val="18"/>
          <w:szCs w:val="18"/>
          <w:color w:val="auto"/>
        </w:rPr>
        <w:t>. Subject to any limitations imposed by applicable law and subject to the rights of the holders of any series of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 only by a majority of the directors then in office, although less than a quorum, or by the sole remaining director,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82" w:lineRule="exact"/>
        <w:rPr>
          <w:rFonts w:ascii="Times New Roman" w:cs="Times New Roman" w:eastAsia="Times New Roman" w:hAnsi="Times New Roman"/>
          <w:sz w:val="18"/>
          <w:szCs w:val="18"/>
          <w:b w:val="1"/>
          <w:bCs w:val="1"/>
          <w:color w:val="auto"/>
        </w:rPr>
      </w:pPr>
    </w:p>
    <w:p>
      <w:pPr>
        <w:ind w:right="140" w:firstLine="656"/>
        <w:spacing w:after="0" w:line="262" w:lineRule="auto"/>
        <w:tabs>
          <w:tab w:leader="none" w:pos="858"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Actions</w:t>
      </w:r>
      <w:r>
        <w:rPr>
          <w:rFonts w:ascii="Times New Roman" w:cs="Times New Roman" w:eastAsia="Times New Roman" w:hAnsi="Times New Roman"/>
          <w:sz w:val="18"/>
          <w:szCs w:val="18"/>
          <w:color w:val="auto"/>
        </w:rPr>
        <w:t>. No action shall be taken by the stockholders of the Corporation except at an annual or special meeting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called in accordance with the Bylaws, and no action shall be taken by the stockholders by written consent. Advance notice of stockholder nominations for the election of directors and of business to be brought by stockholders before any meeting of the stockholders of the Corporation shall be given in the manner provided in the Bylaws.</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59" w:lineRule="auto"/>
        <w:tabs>
          <w:tab w:leader="none" w:pos="868"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The Board of Directors is expressly empowered to adopt, amend or repeal the Bylaws. The stockholders shall also have the power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 amend or repeal the Bylaws; provided, however, that, in addition to any vote of the holders of any class or series of stock of the Corporation required by law or by the Certificate of Incorporation, such action by stockholders shall require the affirmative vote of the holders of at least 66 2/3% of the voting power of all of the then-outstanding shares of the capital stock of the Corporation entitled to vote generally in the election of directors, voting together as a single class.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6" w:name="page147"/>
    <w:bookmarkEnd w:id="14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VIII.</w:t>
      </w:r>
    </w:p>
    <w:p>
      <w:pPr>
        <w:spacing w:after="0" w:line="225" w:lineRule="exact"/>
        <w:rPr>
          <w:sz w:val="20"/>
          <w:szCs w:val="20"/>
          <w:color w:val="auto"/>
        </w:rPr>
      </w:pPr>
    </w:p>
    <w:p>
      <w:pPr>
        <w:ind w:right="7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 Section 203 of the DGCL</w:t>
      </w:r>
      <w:r>
        <w:rPr>
          <w:rFonts w:ascii="Times New Roman" w:cs="Times New Roman" w:eastAsia="Times New Roman" w:hAnsi="Times New Roman"/>
          <w:sz w:val="18"/>
          <w:szCs w:val="18"/>
          <w:color w:val="auto"/>
        </w:rPr>
        <w:t>. The Corporation expressly elects not to be governed by Section 203 of the DGCL and the restrictions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limitations set forth therein.</w:t>
      </w:r>
    </w:p>
    <w:p>
      <w:pPr>
        <w:spacing w:after="0" w:line="155"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B. Interested Stockholder Transactions</w:t>
      </w:r>
      <w:r>
        <w:rPr>
          <w:rFonts w:ascii="Times New Roman" w:cs="Times New Roman" w:eastAsia="Times New Roman" w:hAnsi="Times New Roman"/>
          <w:sz w:val="18"/>
          <w:szCs w:val="18"/>
          <w:color w:val="auto"/>
        </w:rPr>
        <w:t>. Notwithstanding anything to the contrary set forth in this Certificate of Incorporation,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engage in any Business Combination (as defined below) at any point in time at which the Common Stock is registered under Section 12(b) or 12(g) of the Exchange Act with any Interested Stockholder (as defined below) for a period of three (3) years following the time that such stockholder became an Interested Stockholder, unless:</w:t>
      </w:r>
    </w:p>
    <w:p>
      <w:pPr>
        <w:spacing w:after="0" w:line="180" w:lineRule="exact"/>
        <w:rPr>
          <w:sz w:val="20"/>
          <w:szCs w:val="20"/>
          <w:color w:val="auto"/>
        </w:rPr>
      </w:pPr>
    </w:p>
    <w:p>
      <w:pPr>
        <w:ind w:right="620" w:firstLine="1304"/>
        <w:spacing w:after="0" w:line="282" w:lineRule="auto"/>
        <w:tabs>
          <w:tab w:leader="none" w:pos="1476" w:val="left"/>
        </w:tabs>
        <w:numPr>
          <w:ilvl w:val="2"/>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such time that such stockholder became an Interested Stockholder, the Board of Directors approved either the Business Combination or the transaction which resulted in such stockholder becoming an Interested Stockholder;</w:t>
      </w:r>
    </w:p>
    <w:p>
      <w:pPr>
        <w:spacing w:after="0" w:line="161" w:lineRule="exact"/>
        <w:rPr>
          <w:rFonts w:ascii="Times New Roman" w:cs="Times New Roman" w:eastAsia="Times New Roman" w:hAnsi="Times New Roman"/>
          <w:sz w:val="18"/>
          <w:szCs w:val="18"/>
          <w:b w:val="1"/>
          <w:bCs w:val="1"/>
          <w:color w:val="auto"/>
        </w:rPr>
      </w:pPr>
    </w:p>
    <w:p>
      <w:pPr>
        <w:ind w:firstLine="1304"/>
        <w:spacing w:after="0" w:line="257" w:lineRule="auto"/>
        <w:tabs>
          <w:tab w:leader="none" w:pos="1521" w:val="left"/>
        </w:tabs>
        <w:numPr>
          <w:ilvl w:val="2"/>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w:t>
      </w:r>
    </w:p>
    <w:p>
      <w:pPr>
        <w:spacing w:after="0" w:line="1" w:lineRule="exact"/>
        <w:rPr>
          <w:rFonts w:ascii="Times New Roman" w:cs="Times New Roman" w:eastAsia="Times New Roman" w:hAnsi="Times New Roman"/>
          <w:sz w:val="18"/>
          <w:szCs w:val="18"/>
          <w:b w:val="1"/>
          <w:bCs w:val="1"/>
          <w:color w:val="auto"/>
        </w:rPr>
      </w:pPr>
    </w:p>
    <w:p>
      <w:pPr>
        <w:ind w:right="1000" w:firstLine="8"/>
        <w:spacing w:after="0" w:line="260" w:lineRule="auto"/>
        <w:tabs>
          <w:tab w:leader="none" w:pos="2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1" w:lineRule="exact"/>
        <w:rPr>
          <w:rFonts w:ascii="Times New Roman" w:cs="Times New Roman" w:eastAsia="Times New Roman" w:hAnsi="Times New Roman"/>
          <w:sz w:val="18"/>
          <w:szCs w:val="18"/>
          <w:color w:val="auto"/>
        </w:rPr>
      </w:pPr>
    </w:p>
    <w:p>
      <w:pPr>
        <w:jc w:val="both"/>
        <w:ind w:right="260" w:firstLine="1304"/>
        <w:spacing w:after="0" w:line="266" w:lineRule="auto"/>
        <w:tabs>
          <w:tab w:leader="none" w:pos="1476" w:val="left"/>
        </w:tabs>
        <w:numPr>
          <w:ilvl w:val="2"/>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or subsequent to such time that such stockholder became an Interested Stockholder, the Business Combination is approved by the Board of Directors and authorized at an annual or special meeting of stockholders by the affirmative vote of at least sixty-six and two-thirds percent (66 2/3%) of the voting power of the outstanding shares of capital stock of the Corporation which is not owned by such Interested Stockholder.</w:t>
      </w:r>
    </w:p>
    <w:p>
      <w:pPr>
        <w:spacing w:after="0" w:line="171"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1"/>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Certificate of Incorporation, the following terms shall have the following meaning:</w:t>
      </w:r>
    </w:p>
    <w:p>
      <w:pPr>
        <w:spacing w:after="0" w:line="225" w:lineRule="exact"/>
        <w:rPr>
          <w:rFonts w:ascii="Times New Roman" w:cs="Times New Roman" w:eastAsia="Times New Roman" w:hAnsi="Times New Roman"/>
          <w:sz w:val="18"/>
          <w:szCs w:val="18"/>
          <w:b w:val="1"/>
          <w:bCs w:val="1"/>
          <w:color w:val="auto"/>
        </w:rPr>
      </w:pPr>
    </w:p>
    <w:p>
      <w:pPr>
        <w:ind w:right="440" w:firstLine="1304"/>
        <w:spacing w:after="0" w:line="286" w:lineRule="auto"/>
        <w:tabs>
          <w:tab w:leader="none" w:pos="1476" w:val="left"/>
        </w:tabs>
        <w:numPr>
          <w:ilvl w:val="2"/>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 Person that directly, or indirectly through one or more intermediaries, controls, or is controlled by, or is under common control with, another Person;</w:t>
      </w:r>
    </w:p>
    <w:p>
      <w:pPr>
        <w:spacing w:after="0" w:line="154" w:lineRule="exact"/>
        <w:rPr>
          <w:rFonts w:ascii="Times New Roman" w:cs="Times New Roman" w:eastAsia="Times New Roman" w:hAnsi="Times New Roman"/>
          <w:sz w:val="18"/>
          <w:szCs w:val="18"/>
          <w:b w:val="1"/>
          <w:bCs w:val="1"/>
          <w:color w:val="auto"/>
        </w:rPr>
      </w:pPr>
    </w:p>
    <w:p>
      <w:pPr>
        <w:ind w:right="100" w:firstLine="1304"/>
        <w:spacing w:after="0" w:line="259" w:lineRule="auto"/>
        <w:tabs>
          <w:tab w:leader="none" w:pos="1476" w:val="left"/>
        </w:tabs>
        <w:numPr>
          <w:ilvl w:val="2"/>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Associate</w:t>
      </w:r>
      <w:r>
        <w:rPr>
          <w:rFonts w:ascii="Times New Roman" w:cs="Times New Roman" w:eastAsia="Times New Roman" w:hAnsi="Times New Roman"/>
          <w:sz w:val="18"/>
          <w:szCs w:val="18"/>
          <w:color w:val="auto"/>
        </w:rPr>
        <w:t>”, when used to indicate a relationship with any Person, means: (i) any corporation, partnership, unincorporated association or other entity of which such Person is a director, officer or partner or is, directly or indirectly, the owner of twenty percent (20%) or more of any class of shares of voting stock of the Corporation; (ii) any trust or other estate in which such Person has at least a twenty percent (20%) beneficial interest or as to which such Person serves as trustee or in a similar fiduciary capacity; and (iii) any relative or spouse of such Person, or any relative of such spouse, who has the same residence as such Person.</w:t>
      </w:r>
    </w:p>
    <w:p>
      <w:pPr>
        <w:spacing w:after="0" w:line="179" w:lineRule="exact"/>
        <w:rPr>
          <w:rFonts w:ascii="Times New Roman" w:cs="Times New Roman" w:eastAsia="Times New Roman" w:hAnsi="Times New Roman"/>
          <w:sz w:val="18"/>
          <w:szCs w:val="18"/>
          <w:b w:val="1"/>
          <w:bCs w:val="1"/>
          <w:color w:val="auto"/>
        </w:rPr>
      </w:pPr>
    </w:p>
    <w:p>
      <w:pPr>
        <w:ind w:right="40" w:firstLine="1304"/>
        <w:spacing w:after="0" w:line="257" w:lineRule="auto"/>
        <w:tabs>
          <w:tab w:leader="none" w:pos="1476" w:val="left"/>
        </w:tabs>
        <w:numPr>
          <w:ilvl w:val="2"/>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means (i) any merger or consolidation of the Corporation or any direct or indirect majority-owned subsidiary of the Corporation with the Interested Stockholder or (ii)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shares of capital stock of the Corporation.</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7" w:name="page148"/>
    <w:bookmarkEnd w:id="147"/>
    <w:p>
      <w:pPr>
        <w:ind w:right="80" w:firstLine="1304"/>
        <w:spacing w:after="0" w:line="259" w:lineRule="auto"/>
        <w:tabs>
          <w:tab w:leader="none" w:pos="1476"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any of the following events: (i) any “person” or “group” (within the meaning of Sections 13(d) and 14(d) of the Exchange Act, but excluding any employee benefit plan of such person and its subsidiaries, and any person or entity acting in its capacity as trustee, agent or other fiduciary or administrator of any such plan) becomes the “beneficial owner” (within the meaning of Rules 13d-</w:t>
      </w:r>
    </w:p>
    <w:p>
      <w:pPr>
        <w:ind w:right="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3 and 13d-5 under the Exchange Act), directly or indirectly, of shares of Common Stock, Preferred Stock and/or any other class or classes of capital stock of the Corporation (if any) representing in the aggregate more than fifty percent (50%) of the voting power of all of the outstanding shares of capital stock of the Corporation entitled to vote; (ii) the stockholders of the Corporation approve a plan of complete liquidation or dissolution of the Corporation or there is consummated a transaction or series of related transactions for the sale, lease, exchange or other disposition, directly or indirectly, by the Corporation of all or substantially all of the Corporation’s assets (including a sale of all or substantially all of the assets of Orchestra BioMed, Inc.); (iii) there is consummated a merger or consolidation of the Corporation with any other corporation or entity, and, immediately after the consummation of such merger or consolidation, the voting securities of the Corporation immediately prior to such merger or consolidation do not continue to represent, or are not converted into, voting securities representing more than fifty percent (50%) of the combined voting power of the outstanding voting securities of the Person resulting from such merger or consolidation or, if the surviving company is a subsidiary, the ultimate parent thereof; or (iv) the Corporation ceases to be the sole stockholder of Orchestra BioMed, Inc.;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“Change of Control” shall not be deemed to have occurred by virtue of the consummation of any transaction or series of related transactions immediately following which the beneficial owners of Common Stock, Preferred Stock and/or any other class or classes of capital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w:t>
      </w:r>
    </w:p>
    <w:p>
      <w:pPr>
        <w:spacing w:after="0" w:line="187" w:lineRule="exact"/>
        <w:rPr>
          <w:rFonts w:ascii="Times New Roman" w:cs="Times New Roman" w:eastAsia="Times New Roman" w:hAnsi="Times New Roman"/>
          <w:sz w:val="18"/>
          <w:szCs w:val="18"/>
          <w:b w:val="1"/>
          <w:bCs w:val="1"/>
          <w:color w:val="auto"/>
        </w:rPr>
      </w:pPr>
    </w:p>
    <w:p>
      <w:pPr>
        <w:ind w:right="280" w:firstLine="1304"/>
        <w:spacing w:after="0" w:line="256" w:lineRule="auto"/>
        <w:tabs>
          <w:tab w:leader="none" w:pos="1476"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w:t>
      </w:r>
    </w:p>
    <w:p>
      <w:pPr>
        <w:spacing w:after="0" w:line="182" w:lineRule="exact"/>
        <w:rPr>
          <w:rFonts w:ascii="Times New Roman" w:cs="Times New Roman" w:eastAsia="Times New Roman" w:hAnsi="Times New Roman"/>
          <w:sz w:val="18"/>
          <w:szCs w:val="18"/>
          <w:b w:val="1"/>
          <w:bCs w:val="1"/>
          <w:color w:val="auto"/>
        </w:rPr>
      </w:pPr>
    </w:p>
    <w:p>
      <w:pPr>
        <w:ind w:firstLine="1304"/>
        <w:spacing w:after="0" w:line="259" w:lineRule="auto"/>
        <w:tabs>
          <w:tab w:leader="none" w:pos="1521"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Interested Stockholder</w:t>
      </w:r>
      <w:r>
        <w:rPr>
          <w:rFonts w:ascii="Times New Roman" w:cs="Times New Roman" w:eastAsia="Times New Roman" w:hAnsi="Times New Roman"/>
          <w:sz w:val="18"/>
          <w:szCs w:val="18"/>
          <w:color w:val="auto"/>
        </w:rPr>
        <w:t>” means any Person (other than the Corporation and any direct or indirect majority-owned subsidiary of the Corporation) that (i) is the beneficial owner of fifteen percent (15%) or more of the outstanding shares of capital stock of the Corporation that are entitled to vote, or (ii) is an Affiliate of the Corporation and was the beneficial owner of fifteen percent (15%) or more of the outstanding shares of capital stock of the Corporation that are entitled to vote at any time within the three-year period immediately prior to the date on which it is sought to be determined whether such Person is an Interested Stockholder, and the Affiliates and Associates of such Person.</w:t>
      </w:r>
    </w:p>
    <w:p>
      <w:pPr>
        <w:spacing w:after="0" w:line="179" w:lineRule="exact"/>
        <w:rPr>
          <w:rFonts w:ascii="Times New Roman" w:cs="Times New Roman" w:eastAsia="Times New Roman" w:hAnsi="Times New Roman"/>
          <w:sz w:val="18"/>
          <w:szCs w:val="18"/>
          <w:b w:val="1"/>
          <w:bCs w:val="1"/>
          <w:color w:val="auto"/>
        </w:rPr>
      </w:pPr>
    </w:p>
    <w:p>
      <w:pPr>
        <w:ind w:right="220" w:firstLine="1304"/>
        <w:spacing w:after="0" w:line="286" w:lineRule="auto"/>
        <w:tabs>
          <w:tab w:leader="none" w:pos="1521"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when used with respect to any stock, means a Person that individually or with or through any of its Affiliates or associates:</w:t>
      </w:r>
    </w:p>
    <w:p>
      <w:pPr>
        <w:spacing w:after="0" w:line="158" w:lineRule="exact"/>
        <w:rPr>
          <w:rFonts w:ascii="Times New Roman" w:cs="Times New Roman" w:eastAsia="Times New Roman" w:hAnsi="Times New Roman"/>
          <w:sz w:val="18"/>
          <w:szCs w:val="18"/>
          <w:b w:val="1"/>
          <w:bCs w:val="1"/>
          <w:color w:val="auto"/>
        </w:rPr>
      </w:pPr>
    </w:p>
    <w:p>
      <w:pPr>
        <w:ind w:left="2200" w:hanging="248"/>
        <w:spacing w:after="0"/>
        <w:tabs>
          <w:tab w:leader="none" w:pos="2200"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beneficially owns such stock, directly or indirectly; or</w:t>
      </w:r>
    </w:p>
    <w:p>
      <w:pPr>
        <w:spacing w:after="0" w:line="225" w:lineRule="exact"/>
        <w:rPr>
          <w:rFonts w:ascii="Times New Roman" w:cs="Times New Roman" w:eastAsia="Times New Roman" w:hAnsi="Times New Roman"/>
          <w:sz w:val="18"/>
          <w:szCs w:val="18"/>
          <w:b w:val="1"/>
          <w:bCs w:val="1"/>
          <w:color w:val="auto"/>
        </w:rPr>
      </w:pPr>
    </w:p>
    <w:p>
      <w:pPr>
        <w:ind w:right="520" w:firstLine="1952"/>
        <w:spacing w:after="0" w:line="261" w:lineRule="auto"/>
        <w:tabs>
          <w:tab w:leader="none" w:pos="2209"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has (i) the right to acquire such stock (whether such right is exercisable immediately or only after the passage of time) pursuant to any agreement, arrangement or understanding, or upon the exercise of conversion rights, exchange rights, warrants or options, or</w:t>
      </w:r>
    </w:p>
    <w:p>
      <w:pPr>
        <w:ind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8" w:name="page149"/>
    <w:bookmarkEnd w:id="148"/>
    <w:p>
      <w:pPr>
        <w:ind w:right="100" w:firstLine="1952"/>
        <w:spacing w:after="0" w:line="266" w:lineRule="auto"/>
        <w:tabs>
          <w:tab w:leader="none" w:pos="2188" w:val="left"/>
        </w:tabs>
        <w:numPr>
          <w:ilvl w:val="1"/>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spacing w:after="0" w:line="171" w:lineRule="exact"/>
        <w:rPr>
          <w:rFonts w:ascii="Times New Roman" w:cs="Times New Roman" w:eastAsia="Times New Roman" w:hAnsi="Times New Roman"/>
          <w:sz w:val="18"/>
          <w:szCs w:val="18"/>
          <w:b w:val="1"/>
          <w:bCs w:val="1"/>
          <w:color w:val="auto"/>
        </w:rPr>
      </w:pPr>
    </w:p>
    <w:p>
      <w:pPr>
        <w:ind w:right="400" w:firstLine="1304"/>
        <w:spacing w:after="0" w:line="286" w:lineRule="auto"/>
        <w:tabs>
          <w:tab w:leader="none" w:pos="1476"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except as otherwise provided in the definition of “Change of Control”, any individual, corporation, partnership, limited liability company, unincorporated association or other entity.</w:t>
      </w:r>
    </w:p>
    <w:p>
      <w:pPr>
        <w:spacing w:after="0" w:line="154" w:lineRule="exact"/>
        <w:rPr>
          <w:rFonts w:ascii="Times New Roman" w:cs="Times New Roman" w:eastAsia="Times New Roman" w:hAnsi="Times New Roman"/>
          <w:sz w:val="18"/>
          <w:szCs w:val="18"/>
          <w:b w:val="1"/>
          <w:bCs w:val="1"/>
          <w:color w:val="auto"/>
        </w:rPr>
      </w:pPr>
    </w:p>
    <w:p>
      <w:pPr>
        <w:ind w:left="1480" w:hanging="176"/>
        <w:spacing w:after="0"/>
        <w:tabs>
          <w:tab w:leader="none" w:pos="148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means, with respect to any corporation, capital stock and, with respect to any other entity, any equity interest.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IX.</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Corporation reserves the right to amend, alter, change or repeal any provision contained in the Certificate of Incorporation,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or hereafter prescribed by the DGCL, except as provided in paragraph B. of this Article VIII, and all rights conferred upon the stockholders herein are granted subject to this reservation.</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Notwithstanding any other provisions of the Certificate of Incorporation or any provision of law that might otherwise permit a lesser vote or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but in addition to any affirmative vote of the holders of any particular class or series of the Corporation required by law or by the Certificate of Incorporation or any Preferred Stock Designation filed with respect to a series of Preferred Stock, the affirmative vote of the holders of at least sixty-six and two-thirds percent (66 2/3%) of the voting power of all of the then-outstanding shares of capital stock of the Corporation entitled to vote generally in the election of directors, voting together as a single class, shall be required to alter, amend or repeal Articles V, VI, VII, VIII and IX.</w:t>
      </w: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IN WITNESS WHEREOF, the Corporation has caused this Certificate of Incorporation to be signed on this [●], 2022.</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ORCHESTRA BIOMED HOLDINGS, INC.</w:t>
      </w:r>
    </w:p>
    <w:p>
      <w:pPr>
        <w:spacing w:after="0" w:line="24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17145</wp:posOffset>
            </wp:positionV>
            <wp:extent cx="33515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w:t>
      </w:r>
    </w:p>
    <w:p>
      <w:pPr>
        <w:spacing w:after="0" w:line="37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45085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99"/>
          </w:cols>
          <w:pgMar w:left="760" w:top="337" w:right="1440"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ORCHESTRA BIOMED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ind w:right="9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 Registered Office</w:t>
      </w:r>
      <w:r>
        <w:rPr>
          <w:rFonts w:ascii="Times New Roman" w:cs="Times New Roman" w:eastAsia="Times New Roman" w:hAnsi="Times New Roman"/>
          <w:sz w:val="18"/>
          <w:szCs w:val="18"/>
          <w:color w:val="auto"/>
        </w:rPr>
        <w:t>. The registered office of the corporation in the State of Delaware shall be as set forth in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of the 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2. Other Offices</w:t>
      </w:r>
      <w:r>
        <w:rPr>
          <w:rFonts w:ascii="Times New Roman" w:cs="Times New Roman" w:eastAsia="Times New Roman" w:hAnsi="Times New Roman"/>
          <w:sz w:val="18"/>
          <w:szCs w:val="18"/>
          <w:color w:val="auto"/>
        </w:rPr>
        <w:t>. The corporation shall also have and maintain an office or principal place of business at such place as may be fixed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and may also have offices at such other places, both within and without the State of Delaware, as the Board of Directors may from time to time determine or as may be necessary or convenient to the business of the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225" w:lineRule="exact"/>
        <w:rPr>
          <w:sz w:val="20"/>
          <w:szCs w:val="20"/>
          <w:color w:val="auto"/>
        </w:rPr>
      </w:pPr>
    </w:p>
    <w:p>
      <w:pPr>
        <w:ind w:right="3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 Corporate Seal</w:t>
      </w:r>
      <w:r>
        <w:rPr>
          <w:rFonts w:ascii="Times New Roman" w:cs="Times New Roman" w:eastAsia="Times New Roman" w:hAnsi="Times New Roman"/>
          <w:sz w:val="18"/>
          <w:szCs w:val="18"/>
          <w:color w:val="auto"/>
        </w:rPr>
        <w:t>. The Board of Directors may adopt a corporate seal. If adopted, the corporate seal shall consist of a die bearing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of the corporation and the inscription, “Corporate Seal-Delaware.” Said seal may be used by causing it or a facsimile thereof to be impressed or affixed or reproduced or otherwise.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4. Place of Meetings</w:t>
      </w:r>
      <w:r>
        <w:rPr>
          <w:rFonts w:ascii="Times New Roman" w:cs="Times New Roman" w:eastAsia="Times New Roman" w:hAnsi="Times New Roman"/>
          <w:sz w:val="18"/>
          <w:szCs w:val="18"/>
          <w:color w:val="auto"/>
        </w:rPr>
        <w:t>. Meetings of the stockholders of the corporation may be held at such place (if any), either within or without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For the avoidance of doubt, the Board of Directors may, in its sole discretion, determine that a meeting of stockholders of the corporation may be held both in a place and by means of remote communication. For any meeting of stockholders to be held by remote communication, the corporation shall (i) implement reasonable measures to verify that each person deemed present and permitted to vote at the meeting by remote communication is a stockholder or proxy holder, (ii)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(iii) if any stockholder or proxy holder votes or takes other action at the meeting by means of remote communication, a record of such vote or other action shall be maintained by the corporation.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 Annual Meeting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1304"/>
        <w:spacing w:after="0" w:line="253" w:lineRule="auto"/>
        <w:tabs>
          <w:tab w:leader="none" w:pos="1551"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annual meeting of the stockholders of the corporation, for the purpose of election of directors and for such other business as may properly come before it, shall be held at such place, if any, and on such date and at such time as shall be designated from time to time by the Board of Directors and stated in the corporation’s notice of meeting of stockholders. Nominations of persons for election to the Board of Directors and proposals of business to be considered by the stockholders may be made at an annual meeting of stockholders: (i) pursuant to the corporation’s notice of meeting of stockholders given by or at the direction of the Board of Directors; (ii) brought specifically by or at the direction of the Board of Directors or a duly authorized committee thereof; or (iii) by any stockholder of the corporation who was a stockholder of record at the time of giving the stockholder’s notice provided for in Section 5(b) below, who is entitled to vote at the meeting and who complied with the notice procedures set forth in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and the rules and regulations thereunder before an annual meeting of stockholders).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1" w:name="page152"/>
    <w:bookmarkEnd w:id="151"/>
    <w:p>
      <w:pPr>
        <w:ind w:left="-8" w:right="300" w:firstLine="1304"/>
        <w:spacing w:after="0" w:line="282" w:lineRule="auto"/>
        <w:tabs>
          <w:tab w:leader="none" w:pos="1553"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 annual meeting of the stockholders, only such business shall be conducted as is a proper matter for stockholder action under Delaware law and as shall have been properly brought before the meeting in accordance with Section 5(a) and the procedures below.</w:t>
      </w:r>
    </w:p>
    <w:p>
      <w:pPr>
        <w:spacing w:after="0" w:line="161" w:lineRule="exact"/>
        <w:rPr>
          <w:rFonts w:ascii="Times New Roman" w:cs="Times New Roman" w:eastAsia="Times New Roman" w:hAnsi="Times New Roman"/>
          <w:sz w:val="18"/>
          <w:szCs w:val="18"/>
          <w:b w:val="1"/>
          <w:bCs w:val="1"/>
          <w:color w:val="auto"/>
        </w:rPr>
      </w:pPr>
    </w:p>
    <w:p>
      <w:pPr>
        <w:ind w:left="-8" w:firstLine="1952"/>
        <w:spacing w:after="0" w:line="251" w:lineRule="auto"/>
        <w:tabs>
          <w:tab w:leader="none" w:pos="2151" w:val="left"/>
        </w:tabs>
        <w:numPr>
          <w:ilvl w:val="2"/>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nominations for the election to the Board of Directors to be properly brought before an annual meeting by a stockholder pursuant to clause (iii) of Section 5(a), such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beneficially and of record by such nominee; (4) the date or dates on which such shares were acquired and the investment intent of such acquisition; (5) a statement whether such nominee, if elected, intends to tender, promptly following such person’s failure to receive the required vote for election or re-election at the next meeting at which such person would face election or re-election, an irrevocable resignation effective upon acceptance of such resignation by the Board of Directors; and (6)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in the corporation’s proxy statement and associated proxy card as a nominee of the stockholder and to serving as a director if elected); and (B) the information required by Section 5(b)(iv). The corporation may require any proposed nominee to furnish such other information as it may reasonably require to determine the eligibility of such proposed nominee to serve (i) as an independent director (as such term is used in any applicable stock exchange listing requirements or applicable law) of the corporation or (ii) on any committee or sub-committee of the Board of Directors under any applicable stock exchange listing requirements or applicable law, and that could be material to a reasonable stockholder’s understanding of the independence, or lack thereof, of such proposed nominee. The notice in this paragraph must also be accompanied by (X) a completed written questionnaire (in a form provided by the Corporation) with respect to the background, qualifications, stock ownership and independence of such proposed nominee, and such additional information with respect to such proposed nominee as would be required to be provided by the Company pursuant to Schedule 14A if such proposed nominee were a participant in the solicitation of proxies by the Company in connection with such annual or special meeting and (Y) a written representation and agreement (in form provided by the Corporation) that such nominee</w:t>
      </w:r>
    </w:p>
    <w:p>
      <w:pPr>
        <w:spacing w:after="0" w:line="8" w:lineRule="exact"/>
        <w:rPr>
          <w:rFonts w:ascii="Times New Roman" w:cs="Times New Roman" w:eastAsia="Times New Roman" w:hAnsi="Times New Roman"/>
          <w:sz w:val="18"/>
          <w:szCs w:val="18"/>
          <w:b w:val="1"/>
          <w:bCs w:val="1"/>
          <w:color w:val="auto"/>
        </w:rPr>
      </w:pPr>
    </w:p>
    <w:p>
      <w:pPr>
        <w:ind w:left="212" w:hanging="212"/>
        <w:spacing w:after="0"/>
        <w:tabs>
          <w:tab w:leader="none" w:pos="21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elected as director of the Corporation, intends to serve the entire term until the next meeting at which such nominee would face re-election and</w:t>
      </w:r>
    </w:p>
    <w:p>
      <w:pPr>
        <w:spacing w:after="0" w:line="9" w:lineRule="exact"/>
        <w:rPr>
          <w:rFonts w:ascii="Times New Roman" w:cs="Times New Roman" w:eastAsia="Times New Roman" w:hAnsi="Times New Roman"/>
          <w:sz w:val="18"/>
          <w:szCs w:val="18"/>
          <w:color w:val="auto"/>
        </w:rPr>
      </w:pPr>
    </w:p>
    <w:p>
      <w:pPr>
        <w:ind w:left="-8" w:right="460" w:firstLine="8"/>
        <w:spacing w:after="0" w:line="260" w:lineRule="auto"/>
        <w:tabs>
          <w:tab w:leader="none" w:pos="25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being named as a nominee in the Corporation’s proxy statement pursuant to Rule 14a-4(d) under the Exchange Act and any associated proxy card of the Corporation and agrees to serve if elected as a director.</w:t>
      </w:r>
    </w:p>
    <w:p>
      <w:pPr>
        <w:spacing w:after="0" w:line="181" w:lineRule="exact"/>
        <w:rPr>
          <w:rFonts w:ascii="Times New Roman" w:cs="Times New Roman" w:eastAsia="Times New Roman" w:hAnsi="Times New Roman"/>
          <w:sz w:val="18"/>
          <w:szCs w:val="18"/>
          <w:color w:val="auto"/>
        </w:rPr>
      </w:pPr>
    </w:p>
    <w:p>
      <w:pPr>
        <w:ind w:left="-8" w:right="20" w:firstLine="1952"/>
        <w:spacing w:after="0" w:line="253" w:lineRule="auto"/>
        <w:tabs>
          <w:tab w:leader="none" w:pos="2201" w:val="left"/>
        </w:tabs>
        <w:numPr>
          <w:ilvl w:val="2"/>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w:t>
      </w:r>
    </w:p>
    <w:p>
      <w:pPr>
        <w:spacing w:after="0" w:line="36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52" w:name="page153"/>
    <w:bookmarkEnd w:id="152"/>
    <w:p>
      <w:pPr>
        <w:ind w:left="-8" w:right="120" w:firstLine="1952"/>
        <w:spacing w:after="0" w:line="202" w:lineRule="auto"/>
        <w:tabs>
          <w:tab w:leader="none" w:pos="2251" w:val="left"/>
        </w:tabs>
        <w:numPr>
          <w:ilvl w:val="2"/>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be timely, the written notice required by Section 5(b)(i) or 5(b)(ii) must be received by the Secretary at the principal executive offices of the corporation not later than the close of business on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nor earlier than the close of business on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subject to the last sentence of this Section 5(b)(iii), in the event that the date of the annual meeting is advanced more than thirty (30) days prior to or delayed by more than thirty (30) days after the anniversary of the preceding year’s annual meeting, notice by the stockholder to be timely must be so received (A) not earlier than the close of business on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and (B) not later than the close of business on the later of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or, if later than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In no event shall an adjournment or a postponement of an annual meeting for which notice has been given, or the public announcement thereof has been made, commence a new time period (or extend any time period) for the giving of a stockholder’s notice as described above.</w:t>
      </w:r>
    </w:p>
    <w:p>
      <w:pPr>
        <w:spacing w:after="0" w:line="208" w:lineRule="exact"/>
        <w:rPr>
          <w:rFonts w:ascii="Times New Roman" w:cs="Times New Roman" w:eastAsia="Times New Roman" w:hAnsi="Times New Roman"/>
          <w:sz w:val="18"/>
          <w:szCs w:val="18"/>
          <w:b w:val="1"/>
          <w:bCs w:val="1"/>
          <w:color w:val="auto"/>
        </w:rPr>
      </w:pPr>
    </w:p>
    <w:p>
      <w:pPr>
        <w:ind w:left="-8" w:firstLine="1952"/>
        <w:spacing w:after="0" w:line="252" w:lineRule="auto"/>
        <w:tabs>
          <w:tab w:leader="none" w:pos="2241" w:val="left"/>
        </w:tabs>
        <w:numPr>
          <w:ilvl w:val="2"/>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written notice required by Section 5(b)(i) or 5(b)(ii) shall also set forth, as of the date of the notice and as to the stockholder giving the notice and the beneficial owner, if any, on whose behalf the nomination or proposal is made (each, a “</w:t>
      </w:r>
      <w:r>
        <w:rPr>
          <w:rFonts w:ascii="Times New Roman" w:cs="Times New Roman" w:eastAsia="Times New Roman" w:hAnsi="Times New Roman"/>
          <w:sz w:val="18"/>
          <w:szCs w:val="18"/>
          <w:b w:val="1"/>
          <w:bCs w:val="1"/>
          <w:i w:val="1"/>
          <w:iCs w:val="1"/>
          <w:color w:val="auto"/>
        </w:rPr>
        <w:t>Proponent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Proponents</w:t>
      </w:r>
      <w:r>
        <w:rPr>
          <w:rFonts w:ascii="Times New Roman" w:cs="Times New Roman" w:eastAsia="Times New Roman" w:hAnsi="Times New Roman"/>
          <w:sz w:val="18"/>
          <w:szCs w:val="18"/>
          <w:color w:val="auto"/>
        </w:rPr>
        <w:t>”): (A) the name and address of each Proponent, as they appear on the corporation’s books; (B) the class or series and number of shares of each class of capital stock of the corporation that are owned of record and beneficially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holders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w:t>
      </w:r>
    </w:p>
    <w:p>
      <w:pPr>
        <w:spacing w:after="0" w:line="195" w:lineRule="exact"/>
        <w:rPr>
          <w:rFonts w:ascii="Times New Roman" w:cs="Times New Roman" w:eastAsia="Times New Roman" w:hAnsi="Times New Roman"/>
          <w:sz w:val="18"/>
          <w:szCs w:val="18"/>
          <w:b w:val="1"/>
          <w:bCs w:val="1"/>
          <w:color w:val="auto"/>
        </w:rPr>
      </w:pPr>
    </w:p>
    <w:p>
      <w:pPr>
        <w:ind w:left="-8" w:firstLine="1304"/>
        <w:spacing w:after="0" w:line="254" w:lineRule="auto"/>
        <w:tabs>
          <w:tab w:leader="none" w:pos="1532"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stockholder providing the written notice required by Section 5(b)(i) or 5(b)(ii) shall update and supplement such notice in writing, if necessary, so that the information provided or required to be provided in such notice is true and correct in all material respects as of (i) the record date for the meeting and (ii) the date that is five (5) Business Days (as defined below) prior to the meeting and, in the event of any adjournment or postponement thereof, five (5) Business Days prior to such adjourned or postponed meeting. In the case of an update and supplement pursuant to clause (i) of this Section 5(c), such update and supplement shall be received by the Secretary at the principal executive offices of the corporation not later than five</w:t>
      </w:r>
    </w:p>
    <w:p>
      <w:pPr>
        <w:spacing w:after="0" w:line="3" w:lineRule="exact"/>
        <w:rPr>
          <w:rFonts w:ascii="Times New Roman" w:cs="Times New Roman" w:eastAsia="Times New Roman" w:hAnsi="Times New Roman"/>
          <w:sz w:val="18"/>
          <w:szCs w:val="18"/>
          <w:b w:val="1"/>
          <w:bCs w:val="1"/>
          <w:color w:val="auto"/>
        </w:rPr>
      </w:pPr>
    </w:p>
    <w:p>
      <w:pPr>
        <w:jc w:val="both"/>
        <w:ind w:left="-8" w:right="40" w:firstLine="8"/>
        <w:spacing w:after="0" w:line="255" w:lineRule="auto"/>
        <w:tabs>
          <w:tab w:leader="none" w:pos="24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w:t>
      </w:r>
    </w:p>
    <w:p>
      <w:pPr>
        <w:spacing w:after="0" w:line="185" w:lineRule="exact"/>
        <w:rPr>
          <w:rFonts w:ascii="Times New Roman" w:cs="Times New Roman" w:eastAsia="Times New Roman" w:hAnsi="Times New Roman"/>
          <w:sz w:val="18"/>
          <w:szCs w:val="18"/>
          <w:color w:val="auto"/>
        </w:rPr>
      </w:pPr>
    </w:p>
    <w:p>
      <w:pPr>
        <w:ind w:left="-8" w:right="80" w:firstLine="1304"/>
        <w:spacing w:after="0" w:line="256" w:lineRule="auto"/>
        <w:tabs>
          <w:tab w:leader="none" w:pos="1553"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herein to the contrary, in the event that the number of directors to be elected to the Board of Directors of the corporation at the annual meeting is increased effective after the time period for which nominations would otherwise be due under Section 5(b)(iii) and there is no public announcement by the corporation naming the nominees for the additional directorships at least one hundred (100) days prior to the first anniversary of the preceding year’s annual meeting, a stockholder’s notice required by this Section 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spacing w:after="0" w:line="3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53" w:name="page154"/>
    <w:bookmarkEnd w:id="153"/>
    <w:p>
      <w:pPr>
        <w:ind w:right="80" w:firstLine="1304"/>
        <w:spacing w:after="0" w:line="255" w:lineRule="auto"/>
        <w:tabs>
          <w:tab w:leader="none" w:pos="154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shall not be eligible for election or re-election as a director at the annual meeting unless the person is nominated either in accordance with clause (ii) or clause (iii) of Section 5(a). Except as otherwise required by law, the chairperson of the annual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notwithstanding that proxies in respect of such nomination or such business may have been solicited or received.</w:t>
      </w:r>
    </w:p>
    <w:p>
      <w:pPr>
        <w:spacing w:after="0" w:line="188" w:lineRule="exact"/>
        <w:rPr>
          <w:rFonts w:ascii="Times New Roman" w:cs="Times New Roman" w:eastAsia="Times New Roman" w:hAnsi="Times New Roman"/>
          <w:sz w:val="18"/>
          <w:szCs w:val="18"/>
          <w:b w:val="1"/>
          <w:bCs w:val="1"/>
          <w:color w:val="auto"/>
        </w:rPr>
      </w:pPr>
    </w:p>
    <w:p>
      <w:pPr>
        <w:ind w:right="220" w:firstLine="1304"/>
        <w:spacing w:after="0" w:line="256" w:lineRule="auto"/>
        <w:tabs>
          <w:tab w:leader="none" w:pos="1521"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references in these Bylaws to the 1934 Act or the rules and regulations thereunder are not intended to and shall not limit the requirements applicable to proposals and/or nominations to be considered pursuant to Section 5(a).</w:t>
      </w:r>
    </w:p>
    <w:p>
      <w:pPr>
        <w:spacing w:after="0" w:line="187"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Sections 5 and 6,</w:t>
      </w:r>
    </w:p>
    <w:p>
      <w:pPr>
        <w:spacing w:after="0" w:line="221" w:lineRule="exact"/>
        <w:rPr>
          <w:rFonts w:ascii="Times New Roman" w:cs="Times New Roman" w:eastAsia="Times New Roman" w:hAnsi="Times New Roman"/>
          <w:sz w:val="18"/>
          <w:szCs w:val="18"/>
          <w:b w:val="1"/>
          <w:bCs w:val="1"/>
          <w:color w:val="auto"/>
        </w:rPr>
      </w:pPr>
    </w:p>
    <w:p>
      <w:pPr>
        <w:ind w:left="2860" w:hanging="260"/>
        <w:spacing w:after="0"/>
        <w:tabs>
          <w:tab w:leader="none" w:pos="2860"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associates</w:t>
      </w:r>
      <w:r>
        <w:rPr>
          <w:rFonts w:ascii="Times New Roman" w:cs="Times New Roman" w:eastAsia="Times New Roman" w:hAnsi="Times New Roman"/>
          <w:sz w:val="18"/>
          <w:szCs w:val="18"/>
          <w:color w:val="auto"/>
        </w:rPr>
        <w:t>” shall have the meanings set forth in Rule 405 under the Securities Act of 1933, as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b w:val="1"/>
          <w:bCs w:val="1"/>
          <w:i w:val="1"/>
          <w:iCs w:val="1"/>
          <w:color w:val="auto"/>
        </w:rPr>
        <w:t>1933 Act</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b w:val="1"/>
          <w:bCs w:val="1"/>
          <w:color w:val="auto"/>
        </w:rPr>
      </w:pPr>
    </w:p>
    <w:p>
      <w:pPr>
        <w:ind w:left="2860" w:hanging="260"/>
        <w:spacing w:after="0"/>
        <w:tabs>
          <w:tab w:leader="none" w:pos="2860"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Saturday, Sunday or a day on which banks are closed in New York City,</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York.</w:t>
      </w:r>
    </w:p>
    <w:p>
      <w:pPr>
        <w:spacing w:after="0" w:line="202" w:lineRule="exact"/>
        <w:rPr>
          <w:rFonts w:ascii="Times New Roman" w:cs="Times New Roman" w:eastAsia="Times New Roman" w:hAnsi="Times New Roman"/>
          <w:sz w:val="18"/>
          <w:szCs w:val="18"/>
          <w:b w:val="1"/>
          <w:bCs w:val="1"/>
          <w:color w:val="auto"/>
        </w:rPr>
      </w:pPr>
    </w:p>
    <w:p>
      <w:pPr>
        <w:ind w:firstLine="2600"/>
        <w:spacing w:after="0" w:line="254" w:lineRule="auto"/>
        <w:tabs>
          <w:tab w:leader="none" w:pos="2847"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Derivative Transaction</w:t>
      </w:r>
      <w:r>
        <w:rPr>
          <w:rFonts w:ascii="Times New Roman" w:cs="Times New Roman" w:eastAsia="Times New Roman" w:hAnsi="Times New Roman"/>
          <w:sz w:val="18"/>
          <w:szCs w:val="18"/>
          <w:color w:val="auto"/>
        </w:rPr>
        <w:t>” means any agreement, arrangement, interest or understanding entered into by, or on behalf or for the benefit of, any Proponent or any of its affiliates or associates, whether record or beneficial: (A) the value of which is derived in whole or in part from the value of any class or series of shares or other securities of the corporation; (B) that otherwise provides any direct or indirect opportunity to gain or share in any gain derived from a change in the value of securities of the corporation; (C) the effect or intent of which is to mitigate loss, manage risk or benefit of security value or price changes; or (D) that provides the right to vote or increase or decrease the voting power of, such Proponent, or any of its affiliates or associates, with respect to any securities of the corporation,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85" w:lineRule="exact"/>
        <w:rPr>
          <w:rFonts w:ascii="Times New Roman" w:cs="Times New Roman" w:eastAsia="Times New Roman" w:hAnsi="Times New Roman"/>
          <w:sz w:val="18"/>
          <w:szCs w:val="18"/>
          <w:b w:val="1"/>
          <w:bCs w:val="1"/>
          <w:color w:val="auto"/>
        </w:rPr>
      </w:pPr>
    </w:p>
    <w:p>
      <w:pPr>
        <w:ind w:right="60" w:firstLine="2600"/>
        <w:spacing w:after="0" w:line="262" w:lineRule="auto"/>
        <w:tabs>
          <w:tab w:leader="none" w:pos="2847"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Newswires, Associated Press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 Special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20" w:firstLine="1304"/>
        <w:spacing w:after="0" w:line="266" w:lineRule="auto"/>
        <w:tabs>
          <w:tab w:leader="none" w:pos="1551"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Special meetings of the stockholders of the corporation may be called, for any purpose as is a proper matter for stockholder action under Delaware law, by (i) the Chairperson of the Board of Directors, (ii) the Chief Executive Officer, or (iii) the Board of Directors pursuant to a resolution adopted by the Board of Directors.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4" w:name="page155"/>
    <w:bookmarkEnd w:id="154"/>
    <w:p>
      <w:pPr>
        <w:ind w:right="120" w:firstLine="1304"/>
        <w:spacing w:after="0" w:line="258" w:lineRule="auto"/>
        <w:tabs>
          <w:tab w:leader="none" w:pos="1561"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 special meeting called pursuant to Section 6(a), the person(s) calling the meeting shall determine the time and place, if any, of the meeting; provided, however, that only the Board of Directors or a duly authorized committee thereof may authorize a meeting solely by means of remote communication. Upon determination of the date, time and place, if any, of the meeting, the Secretary shall cause a notice of meeting to be given to the stockholders entitled to vote, in accordance with the provisions of Section 7. No business may be transacted at a special meeting otherwise than as specified in the notice of meeting.</w:t>
      </w:r>
    </w:p>
    <w:p>
      <w:pPr>
        <w:spacing w:after="0" w:line="183" w:lineRule="exact"/>
        <w:rPr>
          <w:rFonts w:ascii="Times New Roman" w:cs="Times New Roman" w:eastAsia="Times New Roman" w:hAnsi="Times New Roman"/>
          <w:sz w:val="18"/>
          <w:szCs w:val="18"/>
          <w:b w:val="1"/>
          <w:bCs w:val="1"/>
          <w:color w:val="auto"/>
        </w:rPr>
      </w:pPr>
    </w:p>
    <w:p>
      <w:pPr>
        <w:jc w:val="both"/>
        <w:ind w:firstLine="1304"/>
        <w:spacing w:after="0" w:line="270" w:lineRule="auto"/>
        <w:tabs>
          <w:tab w:leader="none" w:pos="1540" w:val="left"/>
        </w:tabs>
        <w:numPr>
          <w:ilvl w:val="0"/>
          <w:numId w:val="1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Nominations of persons for election to the Board of Directors may be made at a special meeting of stockholders at which directors are to be elected (i) by or at the direction of the Board of Directors or a duly authorized committee thereof or (ii) by any stockholder of the corporation who is a stockholder of record or beneficial owner at the time of giving notice provided for in this paragraph, who is entitled to vote at the meeting and who delivers written notice to the Secretary of the corporation setting forth the information required by Section 5(b)(i) and the information required by Section 5(b)(iv).</w:t>
      </w:r>
    </w:p>
    <w:p>
      <w:pPr>
        <w:spacing w:after="0" w:line="2" w:lineRule="exact"/>
        <w:rPr>
          <w:rFonts w:ascii="Times New Roman" w:cs="Times New Roman" w:eastAsia="Times New Roman" w:hAnsi="Times New Roman"/>
          <w:sz w:val="17"/>
          <w:szCs w:val="17"/>
          <w:b w:val="1"/>
          <w:bCs w:val="1"/>
          <w:color w:val="auto"/>
        </w:rPr>
      </w:pPr>
    </w:p>
    <w:p>
      <w:pPr>
        <w:ind w:right="140"/>
        <w:spacing w:after="0" w:line="25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the event the corporation calls a special meeting of stockholders for the purpose of electing one or more directors to the Board of Directors, any such stockholder of record or beneficial owner may nominate a person or persons (as the case may be), for election to such position(s) as specified in the corporation’s notice of meeting, if written notice setting forth the information required by Section 5(b)(i) and the information required by Section 5(b)(iv) shall be received by the Secretary at the principal executive offices of the corporation not later than the close of business on the later of the ninetieth</w:t>
      </w:r>
    </w:p>
    <w:p>
      <w:pPr>
        <w:spacing w:after="0" w:line="1" w:lineRule="exact"/>
        <w:rPr>
          <w:rFonts w:ascii="Times New Roman" w:cs="Times New Roman" w:eastAsia="Times New Roman" w:hAnsi="Times New Roman"/>
          <w:sz w:val="17"/>
          <w:szCs w:val="17"/>
          <w:b w:val="1"/>
          <w:bCs w:val="1"/>
          <w:color w:val="auto"/>
        </w:rPr>
      </w:pPr>
    </w:p>
    <w:p>
      <w:pPr>
        <w:ind w:right="40"/>
        <w:spacing w:after="0" w:line="21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meeting or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the corporation first makes a public announcement of the date of the special meeting at which directors are to be elected. The stockholder shall also update and supplement such information as required under Section 5(c). In no event shall an adjournment or a postponement of a special meeting for which notice has been given, or the public announcement thereof has been made, commence a new time period (or extend any time period) for the giving of a stockholder’s notice as described above.</w:t>
      </w:r>
    </w:p>
    <w:p>
      <w:pPr>
        <w:spacing w:after="0" w:line="198" w:lineRule="exact"/>
        <w:rPr>
          <w:rFonts w:ascii="Times New Roman" w:cs="Times New Roman" w:eastAsia="Times New Roman" w:hAnsi="Times New Roman"/>
          <w:sz w:val="17"/>
          <w:szCs w:val="17"/>
          <w:b w:val="1"/>
          <w:bCs w:val="1"/>
          <w:color w:val="auto"/>
        </w:rPr>
      </w:pPr>
    </w:p>
    <w:p>
      <w:pPr>
        <w:ind w:right="80" w:firstLine="1304"/>
        <w:spacing w:after="0" w:line="258" w:lineRule="auto"/>
        <w:tabs>
          <w:tab w:leader="none" w:pos="1561"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shall not be eligible for election or re-election as a director at the special meeting unless the person is nominated either in accordance with clause (i) or clause (ii) of Section 6(c). Except as otherwise required by law, the chairperson of the special meeting shall have the power and duty to determine whether a nomination was made in accordance with the procedures set forth in these Bylaws and, if any nomination or business is not in compliance with these Bylaws, to declare that such nomination shall not be presented for stockholder action at the meeting and shall be disregarded, notwithstanding that proxies in respect of such nomination may have been solicited or received.</w:t>
      </w:r>
    </w:p>
    <w:p>
      <w:pPr>
        <w:spacing w:after="0" w:line="183" w:lineRule="exact"/>
        <w:rPr>
          <w:rFonts w:ascii="Times New Roman" w:cs="Times New Roman" w:eastAsia="Times New Roman" w:hAnsi="Times New Roman"/>
          <w:sz w:val="18"/>
          <w:szCs w:val="18"/>
          <w:b w:val="1"/>
          <w:bCs w:val="1"/>
          <w:color w:val="auto"/>
        </w:rPr>
      </w:pPr>
    </w:p>
    <w:p>
      <w:pPr>
        <w:ind w:left="1540" w:hanging="236"/>
        <w:spacing w:after="0"/>
        <w:tabs>
          <w:tab w:leader="none" w:pos="154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provisions of this Section 6, a stockholder must also comply with all applicable requirements of</w:t>
      </w:r>
    </w:p>
    <w:p>
      <w:pPr>
        <w:spacing w:after="0" w:line="2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 xml:space="preserve">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however, </w:t>
      </w:r>
      <w:r>
        <w:rPr>
          <w:rFonts w:ascii="Times New Roman" w:cs="Times New Roman" w:eastAsia="Times New Roman" w:hAnsi="Times New Roman"/>
          <w:sz w:val="17"/>
          <w:szCs w:val="17"/>
          <w:color w:val="auto"/>
        </w:rPr>
        <w:t>that any references in these Bylaws to the 1934 Act or the rules and regulations thereunder are not intended to and shall not limit the requirements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to nominations for the election to the Board of Directors or proposals of other businesses to be considered pursuant to Section 6(c).</w:t>
      </w:r>
    </w:p>
    <w:p>
      <w:pPr>
        <w:spacing w:after="0" w:line="16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7. Notice of Meetings</w:t>
      </w:r>
      <w:r>
        <w:rPr>
          <w:rFonts w:ascii="Times New Roman" w:cs="Times New Roman" w:eastAsia="Times New Roman" w:hAnsi="Times New Roman"/>
          <w:sz w:val="18"/>
          <w:szCs w:val="18"/>
          <w:color w:val="auto"/>
        </w:rPr>
        <w:t>. Except as otherwise provided by law, notice, given in writing or by electronic transmission, of each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shall be given not fewer than ten (10) nor more than sixty (60) days before the date of the meeting to each stockholder entitled to vote at such meeting, such notice to specify the place, if any, date and hour, in the case of special meetings, the purpose or purposes of the meeting, the record date for determining the stockholders entitled to notice of the meeting, and the means of remote communications, if any, by which stockholders and proxy holders may be deemed to be present in person and vote at any such meeting. If mailed, notice is given when deposited in the United States mail, postage prepaid, directed to the stockholder at such stockholder’s mailing address as it appears on the records of the corporation. If delivered by courier service, notice is given at the earlier of when the notice is received or left at such stockholder’s address as it appears on the records of the corporation. If sent via electronic transmission, notice is given when directed to such stockholder’s electronic mail address as it appears on the records of the corporation unless the stockholder has notified the corporation in writing or by electronic transmission of an objection to receiving notice by electronic mail or such notice is prohibited by Section 232(e) of the DGCL.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5" w:name="page156"/>
    <w:bookmarkEnd w:id="155"/>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8. Quorum; Voting</w:t>
      </w:r>
      <w:r>
        <w:rPr>
          <w:rFonts w:ascii="Times New Roman" w:cs="Times New Roman" w:eastAsia="Times New Roman" w:hAnsi="Times New Roman"/>
          <w:sz w:val="18"/>
          <w:szCs w:val="18"/>
          <w:color w:val="auto"/>
        </w:rPr>
        <w:t>. At all meetings of stockholders, except where otherwise provided by statute or by the Certificate of Incorporation,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these Bylaws, the presence, in person, by remote communication, if applicable, or by proxy duly authorized, of the holders of a majority of the voting power of the outstanding shares of stock entitled to vote at the meeting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statute, by applicable stock exchange rules or by the Certificate of Incorporation or these Bylaws, a majority of the voting power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by applicable stock exchange rules or by the Certificate of Incorporation or these Bylaws, the affirmative vote of the holders of a majority (plurality, in the case of the election of directors) of voting power of such class or classes or series present in person, by remote communication, if applicable, or represented by proxy at the meeting shall be the act of such class or classes or series.</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9. Adjournment and Notice of Adjourned Meetings</w:t>
      </w:r>
      <w:r>
        <w:rPr>
          <w:rFonts w:ascii="Times New Roman" w:cs="Times New Roman" w:eastAsia="Times New Roman" w:hAnsi="Times New Roman"/>
          <w:sz w:val="18"/>
          <w:szCs w:val="18"/>
          <w:color w:val="auto"/>
        </w:rPr>
        <w:t>. Any meeting of stockholders, whether annual or special, may be adjourned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either by the person(s) who called the meeting or the chairperson of the meeting, or by the vote of the holders of a majority of the voting power of the shares present in person, by remote communication, if applicable, or represented by proxy duly authorized at the meeting and entitled to vote thereon. When a meeting is adjourned to another time or place, if any, notice need not be given of the adjourned meeting if the time and place, if any, and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that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8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10. Voting Rights</w:t>
      </w:r>
      <w:r>
        <w:rPr>
          <w:rFonts w:ascii="Times New Roman" w:cs="Times New Roman" w:eastAsia="Times New Roman" w:hAnsi="Times New Roman"/>
          <w:sz w:val="18"/>
          <w:szCs w:val="18"/>
          <w:color w:val="auto"/>
        </w:rPr>
        <w:t>. For the purpose of determining those stockholders entitled to vote at any meeting of the stockholders,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provided by law, only persons in whose names shares stand on the stock records of the corporation on the record date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or acted upon after three (3) years from its date of creation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6" w:name="page157"/>
    <w:bookmarkEnd w:id="156"/>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11. Joint Owners of Stock</w:t>
      </w:r>
      <w:r>
        <w:rPr>
          <w:rFonts w:ascii="Times New Roman" w:cs="Times New Roman" w:eastAsia="Times New Roman" w:hAnsi="Times New Roman"/>
          <w:sz w:val="18"/>
          <w:szCs w:val="18"/>
          <w:color w:val="auto"/>
        </w:rPr>
        <w:t>. If shares or other securities having voting power stand of record in the names of two (2) or more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w:t>
      </w:r>
    </w:p>
    <w:p>
      <w:pPr>
        <w:spacing w:after="0" w:line="3" w:lineRule="exact"/>
        <w:rPr>
          <w:sz w:val="20"/>
          <w:szCs w:val="20"/>
          <w:color w:val="auto"/>
        </w:rPr>
      </w:pPr>
    </w:p>
    <w:p>
      <w:pPr>
        <w:ind w:firstLine="8"/>
        <w:spacing w:after="0" w:line="253" w:lineRule="auto"/>
        <w:tabs>
          <w:tab w:leader="none" w:pos="24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one (1) votes, his or her act binds all; (b) if more than one (1) votes, the act of the majority so voting binds all; and (c) if more than one (1) votes, but the vote is evenly split on any particular matter, each faction may vote the securities in question proportionally, or any person voting the shares, or a beneficiary, may apply to the Delaware Court of Chancery for relief as provided in DGCL Section 217(b). If the instrument filed with the Secretary shows that any such tenancy is held in unequal interests, a majority or even-split for the purpose of subsection (c) shall be a majority or even-split in interest.</w:t>
      </w:r>
    </w:p>
    <w:p>
      <w:pPr>
        <w:spacing w:after="0" w:line="185"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b w:val="1"/>
          <w:bCs w:val="1"/>
          <w:color w:val="auto"/>
        </w:rPr>
        <w:t>Section 12. List of Stockholders</w:t>
      </w:r>
      <w:r>
        <w:rPr>
          <w:rFonts w:ascii="Times New Roman" w:cs="Times New Roman" w:eastAsia="Times New Roman" w:hAnsi="Times New Roman"/>
          <w:sz w:val="17"/>
          <w:szCs w:val="17"/>
          <w:color w:val="auto"/>
        </w:rPr>
        <w:t>. The corporation shall prepare, at least ten (10) days before every meeting of stockholders, a complete list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of record entitled to vote at said meeting, arranged in alphabetical order, showing the address of each stockholder and the number and class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w:t>
      </w:r>
    </w:p>
    <w:p>
      <w:pPr>
        <w:ind w:right="60" w:firstLine="8"/>
        <w:spacing w:after="0" w:line="271" w:lineRule="auto"/>
        <w:tabs>
          <w:tab w:leader="none" w:pos="345"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prior to the meeting, (a) on a reasonably accessible electronic network, provided that the information required to gain access to such list is provided with the notice of the meeting, or (b) during ordinary business hours, either at a place within the city where the meeting is to be held, which place shall be specified in the notice of the meeting, or, if not so specified,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70"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13. Action without Meeting</w:t>
      </w:r>
      <w:r>
        <w:rPr>
          <w:rFonts w:ascii="Times New Roman" w:cs="Times New Roman" w:eastAsia="Times New Roman" w:hAnsi="Times New Roman"/>
          <w:sz w:val="18"/>
          <w:szCs w:val="18"/>
          <w:color w:val="auto"/>
        </w:rPr>
        <w:t>. Unless otherwise provided in the Certificate of Incorporation, no action shall be taken by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corporation except at an annual or a special meeting of the stockholders called in accordance with these Bylaws, and no action of the stockholders of the corporation may be taken by the stockholders by written consent or electronic transmission.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14. Organization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1304"/>
        <w:spacing w:after="0" w:line="256" w:lineRule="auto"/>
        <w:tabs>
          <w:tab w:leader="none" w:pos="1551"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every meeting of stockholders, the Chairperson of the Board of Directors, or, if a chairperson has not been appointed, is absent or refuses to act, the Chief Executive Officer, or, if no Chief Executive Officer is then serving, is absent or refuses to act, the President, or, if the President is absent or refuses to act, a chairperson of the meeting designated by the Board of Directors, or, if the Board of Directors does not designate such chairperson, a chairperson chosen by a majority of the voting power of the stockholders entitled to vote, present in person or by proxy duly authorized, shall act as chairperson. The Chairperson of the Board may appoint the Chief Executive Officer as chairperson of the meeting. The Secretary, or, in his or her absence, an Assistant Secretary directed to do so by the chairperson of the meeting, shall act as secretary of the meeting.</w:t>
      </w:r>
    </w:p>
    <w:p>
      <w:pPr>
        <w:spacing w:after="0" w:line="187" w:lineRule="exact"/>
        <w:rPr>
          <w:rFonts w:ascii="Times New Roman" w:cs="Times New Roman" w:eastAsia="Times New Roman" w:hAnsi="Times New Roman"/>
          <w:sz w:val="18"/>
          <w:szCs w:val="18"/>
          <w:b w:val="1"/>
          <w:bCs w:val="1"/>
          <w:color w:val="auto"/>
        </w:rPr>
      </w:pPr>
    </w:p>
    <w:p>
      <w:pPr>
        <w:ind w:firstLine="1304"/>
        <w:spacing w:after="0" w:line="253" w:lineRule="auto"/>
        <w:tabs>
          <w:tab w:leader="none" w:pos="1561"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57" w:name="page158"/>
    <w:bookmarkEnd w:id="157"/>
    <w:p>
      <w:pPr>
        <w:ind w:right="40" w:firstLine="1304"/>
        <w:spacing w:after="0" w:line="253" w:lineRule="auto"/>
        <w:tabs>
          <w:tab w:leader="none" w:pos="1540" w:val="left"/>
        </w:tabs>
        <w:numPr>
          <w:ilvl w:val="1"/>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in advance of any meeting of stockholders, appoint one (1) or more inspectors to act at the meeting and make a written report thereof. The corporation may designate one (1) or more persons as alternate inspectors to replace any inspector who fails to act. If no inspector or alternate is able to act at a meeting of stockholders, the chairperson of the meeting shall appoint one (1) or more inspectors to act at the meeting. Each inspector, before entering upon the discharge of the duties of inspector, shall take and sign an oath faithfully to execute the duties of inspector with strict impartiality and according to the best of such inspector’s ability. The inspectors shall: (1) ascertain the number of shares outstanding and the voting power of each; (2) determine the shares represented at a meeting and the validity of proxies and ballots; (3) count all votes and ballots;</w:t>
      </w:r>
    </w:p>
    <w:p>
      <w:pPr>
        <w:spacing w:after="0" w:line="5" w:lineRule="exact"/>
        <w:rPr>
          <w:rFonts w:ascii="Times New Roman" w:cs="Times New Roman" w:eastAsia="Times New Roman" w:hAnsi="Times New Roman"/>
          <w:sz w:val="18"/>
          <w:szCs w:val="18"/>
          <w:b w:val="1"/>
          <w:bCs w:val="1"/>
          <w:color w:val="auto"/>
        </w:rPr>
      </w:pPr>
    </w:p>
    <w:p>
      <w:pPr>
        <w:ind w:firstLine="8"/>
        <w:spacing w:after="0" w:line="251" w:lineRule="auto"/>
        <w:tabs>
          <w:tab w:leader="none" w:pos="2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 inspectors; and (5) certify their determination of the number of shares represented at the meeting, and their count of all votes and ballots. The inspectors may appoint or retain other persons or entities to assist the inspectors in the performance of the duties of the inspectors. In determining the validity and counting of proxies and ballots, the inspectors shall be limited to an examination of the proxies, any envelopes submitted with those proxies, any information provided in accordance with Sections 211(e) or 212(c)(2) of the DGCL, or any information provided pursuant to Sections 211(a)(2)b.(i) or (iii)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pursuant to Section 231(b)(5) of the DGCL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15. Number and Term of Office</w:t>
      </w:r>
      <w:r>
        <w:rPr>
          <w:rFonts w:ascii="Times New Roman" w:cs="Times New Roman" w:eastAsia="Times New Roman" w:hAnsi="Times New Roman"/>
          <w:sz w:val="18"/>
          <w:szCs w:val="18"/>
          <w:color w:val="auto"/>
        </w:rPr>
        <w:t>. The authorized number of directors of the corporation shall be fixed exclusively from time to time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adopted by the majority of the Board of Directors.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 or such vacancies may be filled in accordance with Section 18 herein.</w:t>
      </w:r>
    </w:p>
    <w:p>
      <w:pPr>
        <w:spacing w:after="0" w:line="176"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16. 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otherwise provided by statute or by the Certificate of Incorporation.</w:t>
      </w:r>
    </w:p>
    <w:p>
      <w:pPr>
        <w:spacing w:after="0" w:line="15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17. Classes of Directors</w:t>
      </w:r>
      <w:r>
        <w:rPr>
          <w:rFonts w:ascii="Times New Roman" w:cs="Times New Roman" w:eastAsia="Times New Roman" w:hAnsi="Times New Roman"/>
          <w:sz w:val="18"/>
          <w:szCs w:val="18"/>
          <w:color w:val="auto"/>
        </w:rPr>
        <w:t>. The directors shall be divided into classes as and to the extent provided in the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required by applicable law.</w:t>
      </w:r>
    </w:p>
    <w:p>
      <w:pPr>
        <w:spacing w:after="0" w:line="15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18. Vacancies</w:t>
      </w:r>
      <w:r>
        <w:rPr>
          <w:rFonts w:ascii="Times New Roman" w:cs="Times New Roman" w:eastAsia="Times New Roman" w:hAnsi="Times New Roman"/>
          <w:sz w:val="18"/>
          <w:szCs w:val="18"/>
          <w:color w:val="auto"/>
        </w:rPr>
        <w:t>. Vacancies on the Board of Directors shall be filled as provided in the Certificate of Incorporation, except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applicable law.</w:t>
      </w:r>
    </w:p>
    <w:p>
      <w:pPr>
        <w:spacing w:after="0" w:line="155"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19. Resignation</w:t>
      </w:r>
      <w:r>
        <w:rPr>
          <w:rFonts w:ascii="Times New Roman" w:cs="Times New Roman" w:eastAsia="Times New Roman" w:hAnsi="Times New Roman"/>
          <w:sz w:val="18"/>
          <w:szCs w:val="18"/>
          <w:color w:val="auto"/>
        </w:rPr>
        <w:t>. Any director may resign at any time by delivering his or her notice in writing or by electronic transmission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such resignation to specify whether it will be effective at a particular time. If no such specification is made, the resignation shall be effective at the time of delivery of the resignation to the Secretary.</w:t>
      </w:r>
    </w:p>
    <w:p>
      <w:pPr>
        <w:spacing w:after="0" w:line="171" w:lineRule="exact"/>
        <w:rPr>
          <w:sz w:val="20"/>
          <w:szCs w:val="20"/>
          <w:color w:val="auto"/>
        </w:rPr>
      </w:pPr>
    </w:p>
    <w:p>
      <w:pPr>
        <w:ind w:right="3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20. Removal</w:t>
      </w:r>
      <w:r>
        <w:rPr>
          <w:rFonts w:ascii="Times New Roman" w:cs="Times New Roman" w:eastAsia="Times New Roman" w:hAnsi="Times New Roman"/>
          <w:sz w:val="18"/>
          <w:szCs w:val="18"/>
          <w:color w:val="auto"/>
        </w:rPr>
        <w:t>. Subject to the rights of holders of any series of Preferred Stock (as defined in the Certificate of Incorporation) to elect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directors or remove such directors under specified circumstances, neither the Board of Directors nor any individual director may be removed except in the manner specified in Section 141(k) of the DGCL.</w:t>
      </w: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58" w:name="page159"/>
    <w:bookmarkEnd w:id="158"/>
    <w:p>
      <w:pPr>
        <w:ind w:left="660"/>
        <w:spacing w:after="0"/>
        <w:rPr>
          <w:sz w:val="20"/>
          <w:szCs w:val="20"/>
          <w:color w:val="auto"/>
        </w:rPr>
      </w:pPr>
      <w:r>
        <w:rPr>
          <w:rFonts w:ascii="Times New Roman" w:cs="Times New Roman" w:eastAsia="Times New Roman" w:hAnsi="Times New Roman"/>
          <w:sz w:val="18"/>
          <w:szCs w:val="18"/>
          <w:b w:val="1"/>
          <w:bCs w:val="1"/>
          <w:color w:val="auto"/>
        </w:rPr>
        <w:t>Section 21.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9" w:lineRule="auto"/>
        <w:tabs>
          <w:tab w:leader="none" w:pos="1551"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Regular Meetings</w:t>
      </w:r>
      <w:r>
        <w:rPr>
          <w:rFonts w:ascii="Times New Roman" w:cs="Times New Roman" w:eastAsia="Times New Roman" w:hAnsi="Times New Roman"/>
          <w:sz w:val="18"/>
          <w:szCs w:val="18"/>
          <w:color w:val="auto"/>
        </w:rPr>
        <w:t>. Unless otherwise restricted by the Certificate of Incorporation, regular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or date and at any place, if any,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179" w:lineRule="exact"/>
        <w:rPr>
          <w:rFonts w:ascii="Times New Roman" w:cs="Times New Roman" w:eastAsia="Times New Roman" w:hAnsi="Times New Roman"/>
          <w:sz w:val="18"/>
          <w:szCs w:val="18"/>
          <w:b w:val="1"/>
          <w:bCs w:val="1"/>
          <w:color w:val="auto"/>
        </w:rPr>
      </w:pPr>
    </w:p>
    <w:p>
      <w:pPr>
        <w:ind w:right="100" w:firstLine="1304"/>
        <w:spacing w:after="0" w:line="268" w:lineRule="auto"/>
        <w:tabs>
          <w:tab w:leader="none" w:pos="1561"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Meetings</w:t>
      </w:r>
      <w:r>
        <w:rPr>
          <w:rFonts w:ascii="Times New Roman" w:cs="Times New Roman" w:eastAsia="Times New Roman" w:hAnsi="Times New Roman"/>
          <w:sz w:val="18"/>
          <w:szCs w:val="18"/>
          <w:color w:val="auto"/>
        </w:rPr>
        <w:t>. Unless otherwise restricted by the Certificate of Incorporation, special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date, time and place, if any, within or without the State of Delaware whenever called by the Chairperson of the Board, the Chief Executive Officer or the Board of Directors.</w:t>
      </w:r>
    </w:p>
    <w:p>
      <w:pPr>
        <w:spacing w:after="0" w:line="170" w:lineRule="exact"/>
        <w:rPr>
          <w:rFonts w:ascii="Times New Roman" w:cs="Times New Roman" w:eastAsia="Times New Roman" w:hAnsi="Times New Roman"/>
          <w:sz w:val="18"/>
          <w:szCs w:val="18"/>
          <w:b w:val="1"/>
          <w:bCs w:val="1"/>
          <w:color w:val="auto"/>
        </w:rPr>
      </w:pPr>
    </w:p>
    <w:p>
      <w:pPr>
        <w:ind w:right="100" w:firstLine="1304"/>
        <w:spacing w:after="0" w:line="268" w:lineRule="auto"/>
        <w:tabs>
          <w:tab w:leader="none" w:pos="1541"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 by Electronic Communications Equipment</w:t>
      </w:r>
      <w:r>
        <w:rPr>
          <w:rFonts w:ascii="Times New Roman" w:cs="Times New Roman" w:eastAsia="Times New Roman" w:hAnsi="Times New Roman"/>
          <w:sz w:val="18"/>
          <w:szCs w:val="18"/>
          <w:color w:val="auto"/>
        </w:rPr>
        <w:t>. Any member of the Board of Directors, or of any committee thereof,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70" w:lineRule="exact"/>
        <w:rPr>
          <w:rFonts w:ascii="Times New Roman" w:cs="Times New Roman" w:eastAsia="Times New Roman" w:hAnsi="Times New Roman"/>
          <w:sz w:val="18"/>
          <w:szCs w:val="18"/>
          <w:b w:val="1"/>
          <w:bCs w:val="1"/>
          <w:color w:val="auto"/>
        </w:rPr>
      </w:pPr>
    </w:p>
    <w:p>
      <w:pPr>
        <w:ind w:firstLine="1304"/>
        <w:spacing w:after="0" w:line="256" w:lineRule="auto"/>
        <w:tabs>
          <w:tab w:leader="none" w:pos="1561"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Special Meetings</w:t>
      </w:r>
      <w:r>
        <w:rPr>
          <w:rFonts w:ascii="Times New Roman" w:cs="Times New Roman" w:eastAsia="Times New Roman" w:hAnsi="Times New Roman"/>
          <w:sz w:val="18"/>
          <w:szCs w:val="18"/>
          <w:color w:val="auto"/>
        </w:rPr>
        <w:t>. Notice of the time and place of all special meetings of the Board of Directors shall be given orally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postage prepaid at least three (3) days before the date of the meeting. Notice of any special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82" w:lineRule="exact"/>
        <w:rPr>
          <w:rFonts w:ascii="Times New Roman" w:cs="Times New Roman" w:eastAsia="Times New Roman" w:hAnsi="Times New Roman"/>
          <w:sz w:val="18"/>
          <w:szCs w:val="18"/>
          <w:b w:val="1"/>
          <w:bCs w:val="1"/>
          <w:color w:val="auto"/>
        </w:rPr>
      </w:pPr>
    </w:p>
    <w:p>
      <w:pPr>
        <w:ind w:right="60" w:firstLine="1304"/>
        <w:spacing w:after="0" w:line="257" w:lineRule="auto"/>
        <w:tabs>
          <w:tab w:leader="none" w:pos="1541"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 of Notice</w:t>
      </w:r>
      <w:r>
        <w:rPr>
          <w:rFonts w:ascii="Times New Roman" w:cs="Times New Roman" w:eastAsia="Times New Roman" w:hAnsi="Times New Roman"/>
          <w:sz w:val="18"/>
          <w:szCs w:val="18"/>
          <w:color w:val="auto"/>
        </w:rPr>
        <w:t>. The transaction of all business at any meeting of the Board of Directors, or any committee thereof, however called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 Notice of any meeting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22. Quorum and Voting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1304"/>
        <w:spacing w:after="0" w:line="261" w:lineRule="auto"/>
        <w:tabs>
          <w:tab w:leader="none" w:pos="1551"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Unless the Certificate of Incorporation requires a greater number, a quorum of the Board of Directors shall consist of a majority of the directors currently serving on the Board of Directors (but in no event less than one-third of the total authorized number of directors);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79" w:lineRule="exact"/>
        <w:rPr>
          <w:rFonts w:ascii="Times New Roman" w:cs="Times New Roman" w:eastAsia="Times New Roman" w:hAnsi="Times New Roman"/>
          <w:sz w:val="18"/>
          <w:szCs w:val="18"/>
          <w:b w:val="1"/>
          <w:bCs w:val="1"/>
          <w:color w:val="auto"/>
        </w:rPr>
      </w:pPr>
    </w:p>
    <w:p>
      <w:pPr>
        <w:ind w:right="600" w:firstLine="1304"/>
        <w:spacing w:after="0" w:line="282" w:lineRule="auto"/>
        <w:tabs>
          <w:tab w:leader="none" w:pos="1561"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58"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23. Action Without Meeting</w:t>
      </w:r>
      <w:r>
        <w:rPr>
          <w:rFonts w:ascii="Times New Roman" w:cs="Times New Roman" w:eastAsia="Times New Roman" w:hAnsi="Times New Roman"/>
          <w:sz w:val="18"/>
          <w:szCs w:val="18"/>
          <w:color w:val="auto"/>
        </w:rPr>
        <w:t>. Unless otherwise restricted by the Certificate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of Directors or of any committee thereof may be taken without a meeting, if all members of the Board of Directors or committee, as the case may be, consent thereto in writing or by electronic transmission. The consent or consents shall be filed with the minutes of proceedings of the Board of Directors or committee, in the same paper or electronic form as the minutes are maintained.</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59" w:name="page160"/>
    <w:bookmarkEnd w:id="159"/>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24. Fees and Compensation</w:t>
      </w:r>
      <w:r>
        <w:rPr>
          <w:rFonts w:ascii="Times New Roman" w:cs="Times New Roman" w:eastAsia="Times New Roman" w:hAnsi="Times New Roman"/>
          <w:sz w:val="18"/>
          <w:szCs w:val="18"/>
          <w:color w:val="auto"/>
        </w:rPr>
        <w:t>. Directors shall be entitled to such compensation for their services as may be approved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or a committee thereof to which the Board of Directors has delegated such responsibility and authority, including, if so approved, by resolution of the Board of Directors or a committee thereof to which the Board of Directors has delegated such responsibility and authority,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25. 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7" w:lineRule="auto"/>
        <w:tabs>
          <w:tab w:leader="none" w:pos="1551"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Committee</w:t>
      </w:r>
      <w:r>
        <w:rPr>
          <w:rFonts w:ascii="Times New Roman" w:cs="Times New Roman" w:eastAsia="Times New Roman" w:hAnsi="Times New Roman"/>
          <w:sz w:val="18"/>
          <w:szCs w:val="18"/>
          <w:color w:val="auto"/>
        </w:rPr>
        <w:t>. The Board of Directors may appoint an Executive Committee to consist of one or more members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82" w:lineRule="exact"/>
        <w:rPr>
          <w:rFonts w:ascii="Times New Roman" w:cs="Times New Roman" w:eastAsia="Times New Roman" w:hAnsi="Times New Roman"/>
          <w:sz w:val="18"/>
          <w:szCs w:val="18"/>
          <w:b w:val="1"/>
          <w:bCs w:val="1"/>
          <w:color w:val="auto"/>
        </w:rPr>
      </w:pPr>
    </w:p>
    <w:p>
      <w:pPr>
        <w:ind w:firstLine="1304"/>
        <w:spacing w:after="0" w:line="262" w:lineRule="auto"/>
        <w:tabs>
          <w:tab w:leader="none" w:pos="1561"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Committees</w:t>
      </w:r>
      <w:r>
        <w:rPr>
          <w:rFonts w:ascii="Times New Roman" w:cs="Times New Roman" w:eastAsia="Times New Roman" w:hAnsi="Times New Roman"/>
          <w:sz w:val="18"/>
          <w:szCs w:val="18"/>
          <w:color w:val="auto"/>
        </w:rPr>
        <w:t>. The Board of Directors may, from time to time, appoint such other committees as may be permitted by law.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6" w:lineRule="exact"/>
        <w:rPr>
          <w:rFonts w:ascii="Times New Roman" w:cs="Times New Roman" w:eastAsia="Times New Roman" w:hAnsi="Times New Roman"/>
          <w:sz w:val="18"/>
          <w:szCs w:val="18"/>
          <w:b w:val="1"/>
          <w:bCs w:val="1"/>
          <w:color w:val="auto"/>
        </w:rPr>
      </w:pPr>
    </w:p>
    <w:p>
      <w:pPr>
        <w:ind w:firstLine="1304"/>
        <w:spacing w:after="0" w:line="254" w:lineRule="auto"/>
        <w:tabs>
          <w:tab w:leader="none" w:pos="1541"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Board of Directors, subject to any requirements of any outstanding series of Preferred Stock and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w:t>
      </w:r>
    </w:p>
    <w:p>
      <w:pPr>
        <w:spacing w:after="0" w:line="188" w:lineRule="exact"/>
        <w:rPr>
          <w:rFonts w:ascii="Times New Roman" w:cs="Times New Roman" w:eastAsia="Times New Roman" w:hAnsi="Times New Roman"/>
          <w:sz w:val="18"/>
          <w:szCs w:val="18"/>
          <w:b w:val="1"/>
          <w:bCs w:val="1"/>
          <w:color w:val="auto"/>
        </w:rPr>
      </w:pPr>
    </w:p>
    <w:p>
      <w:pPr>
        <w:ind w:right="20" w:firstLine="1304"/>
        <w:spacing w:after="0" w:line="253" w:lineRule="auto"/>
        <w:tabs>
          <w:tab w:leader="none" w:pos="1561"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w:t>
      </w:r>
      <w:r>
        <w:rPr>
          <w:rFonts w:ascii="Times New Roman" w:cs="Times New Roman" w:eastAsia="Times New Roman" w:hAnsi="Times New Roman"/>
          <w:sz w:val="18"/>
          <w:szCs w:val="18"/>
          <w:color w:val="auto"/>
        </w:rPr>
        <w:t>. Unless the Board of Directors shall otherwise provide, regular meetings of the Executive Committee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appointed pursuant to this Section 25 shall be held at such times and places, if any, as are determined by the Board of Directors, or by any such committee, and when notice thereof has been given to each member of such committee, no further notice of such regular meetings need be given thereafter. Special meetings of any such committee may be held at any place, if any,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regular or special meeting of any committee may be waived in writing or by electronic transmission at any time before or after the meeting and will be waived by any director by attendance thereat, except when the director attends such regular or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members of the committee present at any meeting at which a quorum is present shall be the act of such committee.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60" w:name="page161"/>
    <w:bookmarkEnd w:id="160"/>
    <w:p>
      <w:pPr>
        <w:ind w:right="220" w:firstLine="648"/>
        <w:spacing w:after="0" w:line="291" w:lineRule="auto"/>
        <w:rPr>
          <w:sz w:val="20"/>
          <w:szCs w:val="20"/>
          <w:color w:val="auto"/>
        </w:rPr>
      </w:pPr>
      <w:r>
        <w:rPr>
          <w:rFonts w:ascii="Times New Roman" w:cs="Times New Roman" w:eastAsia="Times New Roman" w:hAnsi="Times New Roman"/>
          <w:sz w:val="17"/>
          <w:szCs w:val="17"/>
          <w:b w:val="1"/>
          <w:bCs w:val="1"/>
          <w:color w:val="auto"/>
        </w:rPr>
        <w:t>Section 26. Duties of Chairperson of the Board of Directors</w:t>
      </w:r>
      <w:r>
        <w:rPr>
          <w:rFonts w:ascii="Times New Roman" w:cs="Times New Roman" w:eastAsia="Times New Roman" w:hAnsi="Times New Roman"/>
          <w:sz w:val="17"/>
          <w:szCs w:val="17"/>
          <w:color w:val="auto"/>
        </w:rPr>
        <w:t>. The Chairperson of the Board of Directors, if appointed and when present,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preside at all meetings of the stockholders and the Board of Directors. The Chairperson of the Board of Directors shall perform other duties commonly incident to the office and shall also perform such other duties and have such other powers, as the Board of Directors shall designate from time to time.</w:t>
      </w:r>
    </w:p>
    <w:p>
      <w:pPr>
        <w:spacing w:after="0" w:line="15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27. Organization</w:t>
      </w:r>
      <w:r>
        <w:rPr>
          <w:rFonts w:ascii="Times New Roman" w:cs="Times New Roman" w:eastAsia="Times New Roman" w:hAnsi="Times New Roman"/>
          <w:sz w:val="18"/>
          <w:szCs w:val="18"/>
          <w:color w:val="auto"/>
        </w:rPr>
        <w:t>. At every meeting of the directors, the Chairperson of the Board of Directors, or, if a Chairperson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spacing w:after="0" w:line="17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28. Interested Directors</w:t>
      </w:r>
      <w:r>
        <w:rPr>
          <w:rFonts w:ascii="Times New Roman" w:cs="Times New Roman" w:eastAsia="Times New Roman" w:hAnsi="Times New Roman"/>
          <w:sz w:val="18"/>
          <w:szCs w:val="18"/>
          <w:color w:val="auto"/>
        </w:rPr>
        <w:t>. No contract or transaction between the corporation and one or more of its directors or officers, or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29. Officers Designated</w:t>
      </w:r>
      <w:r>
        <w:rPr>
          <w:rFonts w:ascii="Times New Roman" w:cs="Times New Roman" w:eastAsia="Times New Roman" w:hAnsi="Times New Roman"/>
          <w:sz w:val="18"/>
          <w:szCs w:val="18"/>
          <w:color w:val="auto"/>
        </w:rPr>
        <w:t>. The officers of the corporation shall include, if and when designated by the Board of Directors,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in the manner required by applicable law or stock exchange rules.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 Tenure and Duties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68" w:lineRule="auto"/>
        <w:tabs>
          <w:tab w:leader="none" w:pos="1551"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All officers shall be designated and hold office at the pleasure of the Board of Directors and until their successors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elected and qualified, or until their earlier death, resignation, retirement, disqualification or removal from office. If the office of any officer becomes vacant for any reason, the vacancy may be filled by the Board of Directors.</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1" w:name="page162"/>
    <w:bookmarkEnd w:id="161"/>
    <w:p>
      <w:pPr>
        <w:ind w:left="-40" w:right="20" w:firstLine="1304"/>
        <w:spacing w:after="0" w:line="256" w:lineRule="auto"/>
        <w:tabs>
          <w:tab w:leader="none" w:pos="1521"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Chief Executive Officer</w:t>
      </w:r>
      <w:r>
        <w:rPr>
          <w:rFonts w:ascii="Times New Roman" w:cs="Times New Roman" w:eastAsia="Times New Roman" w:hAnsi="Times New Roman"/>
          <w:sz w:val="18"/>
          <w:szCs w:val="18"/>
          <w:color w:val="auto"/>
        </w:rPr>
        <w:t>. The Chief Executive Officer shall preside at all meetings of the stockholders and at all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Board of Directors (if a director), unless the Chairperson of the Board of Directors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82" w:lineRule="exact"/>
        <w:rPr>
          <w:rFonts w:ascii="Times New Roman" w:cs="Times New Roman" w:eastAsia="Times New Roman" w:hAnsi="Times New Roman"/>
          <w:sz w:val="18"/>
          <w:szCs w:val="18"/>
          <w:b w:val="1"/>
          <w:bCs w:val="1"/>
          <w:color w:val="auto"/>
        </w:rPr>
      </w:pPr>
    </w:p>
    <w:p>
      <w:pPr>
        <w:ind w:left="-40" w:right="20" w:firstLine="1304"/>
        <w:spacing w:after="0" w:line="256" w:lineRule="auto"/>
        <w:tabs>
          <w:tab w:leader="none" w:pos="1501"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President</w:t>
      </w:r>
      <w:r>
        <w:rPr>
          <w:rFonts w:ascii="Times New Roman" w:cs="Times New Roman" w:eastAsia="Times New Roman" w:hAnsi="Times New Roman"/>
          <w:sz w:val="18"/>
          <w:szCs w:val="18"/>
          <w:color w:val="auto"/>
        </w:rPr>
        <w:t>. The President shall preside at all meetings of the stockholders and at all meetings of the Board of Directors (if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unless the Chairperson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182" w:lineRule="exact"/>
        <w:rPr>
          <w:rFonts w:ascii="Times New Roman" w:cs="Times New Roman" w:eastAsia="Times New Roman" w:hAnsi="Times New Roman"/>
          <w:sz w:val="18"/>
          <w:szCs w:val="18"/>
          <w:b w:val="1"/>
          <w:bCs w:val="1"/>
          <w:color w:val="auto"/>
        </w:rPr>
      </w:pPr>
    </w:p>
    <w:p>
      <w:pPr>
        <w:ind w:left="-40" w:right="60" w:firstLine="1304"/>
        <w:spacing w:after="0" w:line="282" w:lineRule="auto"/>
        <w:tabs>
          <w:tab w:leader="none" w:pos="1521" w:val="left"/>
        </w:tabs>
        <w:numPr>
          <w:ilvl w:val="0"/>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Duties of Vice Presidents</w:t>
      </w:r>
      <w:r>
        <w:rPr>
          <w:rFonts w:ascii="Times New Roman" w:cs="Times New Roman" w:eastAsia="Times New Roman" w:hAnsi="Times New Roman"/>
          <w:sz w:val="17"/>
          <w:szCs w:val="17"/>
          <w:color w:val="auto"/>
        </w:rPr>
        <w:t>. A Vice President may assume and perform the duties of the President in the absence or disability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President or whenever the office of President is vacant (unless the duties of the President are being filled by the Chief Executive Officer). A Vice President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61" w:lineRule="exact"/>
        <w:rPr>
          <w:rFonts w:ascii="Times New Roman" w:cs="Times New Roman" w:eastAsia="Times New Roman" w:hAnsi="Times New Roman"/>
          <w:sz w:val="17"/>
          <w:szCs w:val="17"/>
          <w:b w:val="1"/>
          <w:bCs w:val="1"/>
          <w:color w:val="auto"/>
        </w:rPr>
      </w:pPr>
    </w:p>
    <w:p>
      <w:pPr>
        <w:ind w:left="-40" w:right="160" w:firstLine="1304"/>
        <w:spacing w:after="0" w:line="254" w:lineRule="auto"/>
        <w:tabs>
          <w:tab w:leader="none" w:pos="1501"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Secretary and Assistant Secretary</w:t>
      </w:r>
      <w:r>
        <w:rPr>
          <w:rFonts w:ascii="Times New Roman" w:cs="Times New Roman" w:eastAsia="Times New Roman" w:hAnsi="Times New Roman"/>
          <w:sz w:val="18"/>
          <w:szCs w:val="18"/>
          <w:color w:val="auto"/>
        </w:rPr>
        <w:t>. The Secretary shall attend all meetings of the stockholders and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shall 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88" w:lineRule="exact"/>
        <w:rPr>
          <w:rFonts w:ascii="Times New Roman" w:cs="Times New Roman" w:eastAsia="Times New Roman" w:hAnsi="Times New Roman"/>
          <w:sz w:val="18"/>
          <w:szCs w:val="18"/>
          <w:b w:val="1"/>
          <w:bCs w:val="1"/>
          <w:color w:val="auto"/>
        </w:rPr>
      </w:pPr>
    </w:p>
    <w:p>
      <w:pPr>
        <w:ind w:left="-40" w:firstLine="1304"/>
        <w:spacing w:after="0" w:line="253" w:lineRule="auto"/>
        <w:tabs>
          <w:tab w:leader="none" w:pos="1481"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Chief Financial Officer</w:t>
      </w:r>
      <w:r>
        <w:rPr>
          <w:rFonts w:ascii="Times New Roman" w:cs="Times New Roman" w:eastAsia="Times New Roman" w:hAnsi="Times New Roman"/>
          <w:sz w:val="18"/>
          <w:szCs w:val="18"/>
          <w:color w:val="auto"/>
        </w:rPr>
        <w:t>. The Chief Financial Officer shall keep or cause to be kept the books of account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thorough and proper manner and shall render statements of the financial affairs of the corporation in such form and as often as required by the Board of Directors or the Chief Executive Officer, or if no Chief Executive Officer is then serving,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Chief Executive Officer, or if no Chief Executive Officer is then serving,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45085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33" w:right="359" w:bottom="1440" w:gutter="0" w:footer="0" w:header="0"/>
        </w:sectPr>
      </w:pPr>
    </w:p>
    <w:bookmarkStart w:id="162" w:name="page163"/>
    <w:bookmarkEnd w:id="162"/>
    <w:p>
      <w:pPr>
        <w:ind w:firstLine="1304"/>
        <w:spacing w:after="0" w:line="254" w:lineRule="auto"/>
        <w:tabs>
          <w:tab w:leader="none" w:pos="1551"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Treasurer and Assistant Treasurer</w:t>
      </w:r>
      <w:r>
        <w:rPr>
          <w:rFonts w:ascii="Times New Roman" w:cs="Times New Roman" w:eastAsia="Times New Roman" w:hAnsi="Times New Roman"/>
          <w:sz w:val="18"/>
          <w:szCs w:val="18"/>
          <w:color w:val="auto"/>
        </w:rPr>
        <w:t>. Unless another officer has been appointed Chief Financial Officer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Treasurer shall be the 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Chief Executive Officer, or if no Chief Executive Officer is then serving,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Chief Executive Officer, or if no Chief Executive Officer is then serving, the President and Chief Financial Officer (if not Treasurer) shall designate from time to time. The Chief Executive Officer, or if no Chief Executive Officer is then serving, the President and Chief Financial Officer may direct any Assistant Treasurer or the controller or any assistant controller to assume and perform the duties of the Treasurer in the absence or disability of the Treasurer, and each Assistant Treasurer and each controller and assistant controller shall perform other duties commonly incident to the office and shall also perform such other duties and have such other powers as the Board of Directors or the Chief Executive Officer, or if no Chief Executive Officer is then serving, the President and Chief Financial Officer shall designate from time to time.</w:t>
      </w:r>
    </w:p>
    <w:p>
      <w:pPr>
        <w:spacing w:after="0" w:line="182"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31. Delegation of Authority</w:t>
      </w:r>
      <w:r>
        <w:rPr>
          <w:rFonts w:ascii="Times New Roman" w:cs="Times New Roman" w:eastAsia="Times New Roman" w:hAnsi="Times New Roman"/>
          <w:sz w:val="18"/>
          <w:szCs w:val="18"/>
          <w:color w:val="auto"/>
        </w:rPr>
        <w:t>. The Board of Directors may from time to time delegate the powers or duties of any officer to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agent, notwithstanding any provision hereof.</w:t>
      </w:r>
    </w:p>
    <w:p>
      <w:pPr>
        <w:spacing w:after="0" w:line="155"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32. Resignations</w:t>
      </w:r>
      <w:r>
        <w:rPr>
          <w:rFonts w:ascii="Times New Roman" w:cs="Times New Roman" w:eastAsia="Times New Roman" w:hAnsi="Times New Roman"/>
          <w:sz w:val="18"/>
          <w:szCs w:val="18"/>
          <w:color w:val="auto"/>
        </w:rPr>
        <w:t>. Any officer may resign at any time by giving notice in writing or by electronic transmission to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to the Chief Executive Officer, or if no Chief Executive Officer is then serving,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79"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33. Removal</w:t>
      </w:r>
      <w:r>
        <w:rPr>
          <w:rFonts w:ascii="Times New Roman" w:cs="Times New Roman" w:eastAsia="Times New Roman" w:hAnsi="Times New Roman"/>
          <w:sz w:val="18"/>
          <w:szCs w:val="18"/>
          <w:color w:val="auto"/>
        </w:rPr>
        <w:t>. Any officer may be removed from office at any time, either with or without cause, by the Board of Directors, or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or superior officer upon whom such power of removal may have been conferred by the Board of Directors.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EXECUTION OF CORPORATE INSTRUMENTS AND VOTING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SECURITIES OWNED BY THE CORPORATION</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34. Execution of Corporate Instruments</w:t>
      </w:r>
      <w:r>
        <w:rPr>
          <w:rFonts w:ascii="Times New Roman" w:cs="Times New Roman" w:eastAsia="Times New Roman" w:hAnsi="Times New Roman"/>
          <w:sz w:val="18"/>
          <w:szCs w:val="18"/>
          <w:color w:val="auto"/>
        </w:rPr>
        <w:t>. The Board of Directors may, in its discretion, determine the method and designate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applicable law or these Bylaws, and such execution or signature shall be binding upon the corporation. All checks and drafts drawn on banks or other depositaries on funds to the credit of the corporation or in special accounts of the corporation shall be signed by such person or persons as the Board of Directors shall authorize so to do. Unless (i) authorized or ratified by the Board of Directors or (ii) within the agency power of an officer of any designee of any such officer (each, an “</w:t>
      </w:r>
      <w:r>
        <w:rPr>
          <w:rFonts w:ascii="Times New Roman" w:cs="Times New Roman" w:eastAsia="Times New Roman" w:hAnsi="Times New Roman"/>
          <w:sz w:val="18"/>
          <w:szCs w:val="18"/>
          <w:b w:val="1"/>
          <w:bCs w:val="1"/>
          <w:i w:val="1"/>
          <w:iCs w:val="1"/>
          <w:color w:val="auto"/>
        </w:rPr>
        <w:t>Authorized Employee</w:t>
      </w:r>
      <w:r>
        <w:rPr>
          <w:rFonts w:ascii="Times New Roman" w:cs="Times New Roman" w:eastAsia="Times New Roman" w:hAnsi="Times New Roman"/>
          <w:sz w:val="18"/>
          <w:szCs w:val="18"/>
          <w:color w:val="auto"/>
        </w:rPr>
        <w:t>”), no officer, agent or employee other than an Authorized Employee shall have any power or authority to bind the corporation by any contract or engagement or to pledge its credit or to render it liable for any purpose or for any amount.</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35. Voting of Securities Owned by the Corporation</w:t>
      </w:r>
      <w:r>
        <w:rPr>
          <w:rFonts w:ascii="Times New Roman" w:cs="Times New Roman" w:eastAsia="Times New Roman" w:hAnsi="Times New Roman"/>
          <w:sz w:val="18"/>
          <w:szCs w:val="18"/>
          <w:color w:val="auto"/>
        </w:rPr>
        <w:t>. All stock and other securities and interests of other corporations and entities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36. Form and Execution of Certificates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1304"/>
        <w:spacing w:after="0" w:line="266" w:lineRule="auto"/>
        <w:tabs>
          <w:tab w:leader="none" w:pos="1551"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of the corporation shall be represented by certificates, or shall be uncertificated if so provided by resolution or resolutions of the Board of Directors. Certificates, if any, for the shares of stock shall be in such form as is consistent with the Certificate of Incorporation and applicable law.</w:t>
      </w:r>
    </w:p>
    <w:p>
      <w:pPr>
        <w:spacing w:after="0" w:line="175" w:lineRule="exact"/>
        <w:rPr>
          <w:rFonts w:ascii="Times New Roman" w:cs="Times New Roman" w:eastAsia="Times New Roman" w:hAnsi="Times New Roman"/>
          <w:sz w:val="18"/>
          <w:szCs w:val="18"/>
          <w:b w:val="1"/>
          <w:bCs w:val="1"/>
          <w:color w:val="auto"/>
        </w:rPr>
      </w:pPr>
    </w:p>
    <w:p>
      <w:pPr>
        <w:ind w:firstLine="1304"/>
        <w:spacing w:after="0" w:line="258" w:lineRule="auto"/>
        <w:tabs>
          <w:tab w:leader="none" w:pos="1561"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Every holder of stock in the corporation represented by certificate shall be entitled to have a certificate signed by, or in the name of, the corporation by any two (2) authorized officers of the corporation, certifying the number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or she were such officer, transfer agent, or registrar at the date of issue.</w:t>
      </w:r>
    </w:p>
    <w:p>
      <w:pPr>
        <w:spacing w:after="0" w:line="179"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37. Lost Certificates</w:t>
      </w:r>
      <w:r>
        <w:rPr>
          <w:rFonts w:ascii="Times New Roman" w:cs="Times New Roman" w:eastAsia="Times New Roman" w:hAnsi="Times New Roman"/>
          <w:sz w:val="18"/>
          <w:szCs w:val="18"/>
          <w:color w:val="auto"/>
        </w:rPr>
        <w:t>. A new certificate or certificates shall be issued in place of any certificate or certificates theretofore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38. Transfers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0" w:firstLine="1304"/>
        <w:spacing w:after="0" w:line="266" w:lineRule="auto"/>
        <w:tabs>
          <w:tab w:leader="none" w:pos="1551"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75" w:lineRule="exact"/>
        <w:rPr>
          <w:rFonts w:ascii="Times New Roman" w:cs="Times New Roman" w:eastAsia="Times New Roman" w:hAnsi="Times New Roman"/>
          <w:sz w:val="18"/>
          <w:szCs w:val="18"/>
          <w:b w:val="1"/>
          <w:bCs w:val="1"/>
          <w:color w:val="auto"/>
        </w:rPr>
      </w:pPr>
    </w:p>
    <w:p>
      <w:pPr>
        <w:ind w:right="480" w:firstLine="1304"/>
        <w:spacing w:after="0" w:line="266" w:lineRule="auto"/>
        <w:tabs>
          <w:tab w:leader="none" w:pos="1561"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39. Fixing Record Dates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53" w:lineRule="auto"/>
        <w:tabs>
          <w:tab w:leader="none" w:pos="1551"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fewer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4" w:name="page165"/>
    <w:bookmarkEnd w:id="164"/>
    <w:p>
      <w:pPr>
        <w:ind w:firstLine="1304"/>
        <w:spacing w:after="0" w:line="256" w:lineRule="auto"/>
        <w:tabs>
          <w:tab w:leader="none" w:pos="1561"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3" w:lineRule="exact"/>
        <w:rPr>
          <w:sz w:val="20"/>
          <w:szCs w:val="20"/>
          <w:color w:val="auto"/>
        </w:rPr>
      </w:pPr>
    </w:p>
    <w:p>
      <w:pPr>
        <w:ind w:firstLine="648"/>
        <w:spacing w:after="0" w:line="291" w:lineRule="auto"/>
        <w:rPr>
          <w:sz w:val="20"/>
          <w:szCs w:val="20"/>
          <w:color w:val="auto"/>
        </w:rPr>
      </w:pPr>
      <w:r>
        <w:rPr>
          <w:rFonts w:ascii="Times New Roman" w:cs="Times New Roman" w:eastAsia="Times New Roman" w:hAnsi="Times New Roman"/>
          <w:sz w:val="17"/>
          <w:szCs w:val="17"/>
          <w:b w:val="1"/>
          <w:bCs w:val="1"/>
          <w:color w:val="auto"/>
        </w:rPr>
        <w:t>Section 40. Registered Stockholders</w:t>
      </w:r>
      <w:r>
        <w:rPr>
          <w:rFonts w:ascii="Times New Roman" w:cs="Times New Roman" w:eastAsia="Times New Roman" w:hAnsi="Times New Roman"/>
          <w:sz w:val="17"/>
          <w:szCs w:val="17"/>
          <w:color w:val="auto"/>
        </w:rPr>
        <w:t>. The corporation shall be entitled to recognize the exclusive right of a person registered on its books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SECURITIES OF THE CORPORATION</w:t>
      </w:r>
    </w:p>
    <w:p>
      <w:pPr>
        <w:spacing w:after="0" w:line="22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41. Execution of Other Securities</w:t>
      </w:r>
      <w:r>
        <w:rPr>
          <w:rFonts w:ascii="Times New Roman" w:cs="Times New Roman" w:eastAsia="Times New Roman" w:hAnsi="Times New Roman"/>
          <w:sz w:val="18"/>
          <w:szCs w:val="18"/>
          <w:color w:val="auto"/>
        </w:rPr>
        <w:t>. All bonds, debentures and other corporate securities of the corporation, other than stock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(covered in Section 35), may be signed by any executive officer (as defined in Article XI) or any other officer or person as may be authorized by the Board of Directors;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an executive officer of the corporation or such other officer or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42. Declaration of Dividends</w:t>
      </w:r>
      <w:r>
        <w:rPr>
          <w:rFonts w:ascii="Times New Roman" w:cs="Times New Roman" w:eastAsia="Times New Roman" w:hAnsi="Times New Roman"/>
          <w:sz w:val="18"/>
          <w:szCs w:val="18"/>
          <w:color w:val="auto"/>
        </w:rPr>
        <w:t>. Dividends upon the outstanding capital stock of the corporation, subject to the provisions of the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Incorporation and applicable law, if any, may be declared by the Board of Directors. Dividends may be paid in cash, in property, or in shares of the corporation’s capital stock, subject to the provisions of the Certificate of Incorporation and applicable law.</w:t>
      </w:r>
    </w:p>
    <w:p>
      <w:pPr>
        <w:spacing w:after="0" w:line="17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7"/>
          <w:szCs w:val="17"/>
          <w:b w:val="1"/>
          <w:bCs w:val="1"/>
          <w:color w:val="auto"/>
        </w:rPr>
        <w:t>Section 43. Dividend Reserve</w:t>
      </w:r>
      <w:r>
        <w:rPr>
          <w:rFonts w:ascii="Times New Roman" w:cs="Times New Roman" w:eastAsia="Times New Roman" w:hAnsi="Times New Roman"/>
          <w:sz w:val="17"/>
          <w:szCs w:val="17"/>
          <w:color w:val="auto"/>
        </w:rPr>
        <w:t>. Before payment of any dividend, there may be set aside out of any funds of the corporation available for dividends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sum or sums as the Board of Directors from time to time, in its absolute discretion, thinks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5" w:lineRule="exact"/>
        <w:rPr>
          <w:sz w:val="20"/>
          <w:szCs w:val="20"/>
          <w:color w:val="auto"/>
        </w:rPr>
      </w:pPr>
    </w:p>
    <w:p>
      <w:pPr>
        <w:ind w:right="7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44. Fiscal Year</w:t>
      </w:r>
      <w:r>
        <w:rPr>
          <w:rFonts w:ascii="Times New Roman" w:cs="Times New Roman" w:eastAsia="Times New Roman" w:hAnsi="Times New Roman"/>
          <w:sz w:val="18"/>
          <w:szCs w:val="18"/>
          <w:color w:val="auto"/>
        </w:rPr>
        <w:t>. The fiscal year of the corporation shall end on December 31 or on such other date as may otherwise be fixed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the Board of Directors.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45. Indemnification of Directors, Executive Officers, Employees and Other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4"/>
        <w:spacing w:after="0" w:line="254" w:lineRule="auto"/>
        <w:tabs>
          <w:tab w:leader="none" w:pos="1551"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Executive Officers</w:t>
      </w:r>
      <w:r>
        <w:rPr>
          <w:rFonts w:ascii="Times New Roman" w:cs="Times New Roman" w:eastAsia="Times New Roman" w:hAnsi="Times New Roman"/>
          <w:sz w:val="18"/>
          <w:szCs w:val="18"/>
          <w:color w:val="auto"/>
        </w:rPr>
        <w:t>. The corporation shall indemnify and hold harmless, to the fullest extent permitted by the DGCL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it presently exists or may hereafter be amended, any director or officer of the Corporation who was or is made or is threatened to be made a party or is otherwise involved in any Proceeding (as defined below)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(a “covered person”),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45(d), the corporation shall be required to indemnify a person in connection with a Proceeding initiated by such person only if the Proceeding was authorized in the specific case by the Board.</w:t>
      </w:r>
    </w:p>
    <w:p>
      <w:pPr>
        <w:spacing w:after="0" w:line="188" w:lineRule="exact"/>
        <w:rPr>
          <w:rFonts w:ascii="Times New Roman" w:cs="Times New Roman" w:eastAsia="Times New Roman" w:hAnsi="Times New Roman"/>
          <w:sz w:val="18"/>
          <w:szCs w:val="18"/>
          <w:b w:val="1"/>
          <w:bCs w:val="1"/>
          <w:color w:val="auto"/>
        </w:rPr>
      </w:pPr>
    </w:p>
    <w:p>
      <w:pPr>
        <w:ind w:firstLine="1304"/>
        <w:spacing w:after="0" w:line="257" w:lineRule="auto"/>
        <w:tabs>
          <w:tab w:leader="none" w:pos="1561"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Officers, Employees and Other Agents</w:t>
      </w:r>
      <w:r>
        <w:rPr>
          <w:rFonts w:ascii="Times New Roman" w:cs="Times New Roman" w:eastAsia="Times New Roman" w:hAnsi="Times New Roman"/>
          <w:sz w:val="18"/>
          <w:szCs w:val="18"/>
          <w:color w:val="auto"/>
        </w:rPr>
        <w:t>. The corporation shall have the power to indemnify and hold harmless,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82" w:lineRule="exact"/>
        <w:rPr>
          <w:rFonts w:ascii="Times New Roman" w:cs="Times New Roman" w:eastAsia="Times New Roman" w:hAnsi="Times New Roman"/>
          <w:sz w:val="18"/>
          <w:szCs w:val="18"/>
          <w:b w:val="1"/>
          <w:bCs w:val="1"/>
          <w:color w:val="auto"/>
        </w:rPr>
      </w:pPr>
    </w:p>
    <w:p>
      <w:pPr>
        <w:ind w:right="20" w:firstLine="1304"/>
        <w:spacing w:after="0" w:line="254" w:lineRule="auto"/>
        <w:tabs>
          <w:tab w:leader="none" w:pos="1541"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The corporation shall advance to any person who was or is a party or is threatened to be made a party to any Proceeding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of the fact that he or she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Times New Roman" w:cs="Times New Roman" w:eastAsia="Times New Roman" w:hAnsi="Times New Roman"/>
          <w:sz w:val="18"/>
          <w:szCs w:val="18"/>
          <w:b w:val="1"/>
          <w:bCs w:val="1"/>
          <w:i w:val="1"/>
          <w:iCs w:val="1"/>
          <w:color w:val="auto"/>
        </w:rPr>
        <w:t>undertaking</w:t>
      </w:r>
      <w:r>
        <w:rPr>
          <w:rFonts w:ascii="Times New Roman" w:cs="Times New Roman" w:eastAsia="Times New Roman" w:hAnsi="Times New Roman"/>
          <w:sz w:val="18"/>
          <w:szCs w:val="18"/>
          <w:color w:val="auto"/>
        </w:rPr>
        <w:t>”), by or on behalf of such indemnitee, to repay all amounts so advanced if it shall ultimately be determined by final judicial decision from which there is no further right to appeal (hereinafter a “</w:t>
      </w:r>
      <w:r>
        <w:rPr>
          <w:rFonts w:ascii="Times New Roman" w:cs="Times New Roman" w:eastAsia="Times New Roman" w:hAnsi="Times New Roman"/>
          <w:sz w:val="18"/>
          <w:szCs w:val="18"/>
          <w:b w:val="1"/>
          <w:bCs w:val="1"/>
          <w:i w:val="1"/>
          <w:iCs w:val="1"/>
          <w:color w:val="auto"/>
        </w:rPr>
        <w:t>final adjudication</w:t>
      </w:r>
      <w:r>
        <w:rPr>
          <w:rFonts w:ascii="Times New Roman" w:cs="Times New Roman" w:eastAsia="Times New Roman" w:hAnsi="Times New Roman"/>
          <w:sz w:val="18"/>
          <w:szCs w:val="18"/>
          <w:color w:val="auto"/>
        </w:rPr>
        <w:t>”) that such indemnitee is not entitled to be indemnified for such expenses under this section or otherwise.</w:t>
      </w:r>
    </w:p>
    <w:p>
      <w:pPr>
        <w:spacing w:after="0" w:line="188" w:lineRule="exact"/>
        <w:rPr>
          <w:rFonts w:ascii="Times New Roman" w:cs="Times New Roman" w:eastAsia="Times New Roman" w:hAnsi="Times New Roman"/>
          <w:sz w:val="18"/>
          <w:szCs w:val="18"/>
          <w:b w:val="1"/>
          <w:bCs w:val="1"/>
          <w:color w:val="auto"/>
        </w:rPr>
      </w:pPr>
    </w:p>
    <w:p>
      <w:pPr>
        <w:ind w:right="20" w:firstLine="1304"/>
        <w:spacing w:after="0" w:line="252" w:lineRule="auto"/>
        <w:tabs>
          <w:tab w:leader="none" w:pos="1561"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w:t>
      </w:r>
      <w:r>
        <w:rPr>
          <w:rFonts w:ascii="Times New Roman" w:cs="Times New Roman" w:eastAsia="Times New Roman" w:hAnsi="Times New Roman"/>
          <w:sz w:val="18"/>
          <w:szCs w:val="18"/>
          <w:color w:val="auto"/>
        </w:rPr>
        <w:t>. Without the necessity of entering into an express contract, all rights to indemnification and advances to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under this Bylaw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the Court of Chancery of the State of Delaware if (i) the claim for indemnification or advances is denied by the Board of Directors,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to the fullest extent permitted by law.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reasonably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or otherwise shall be on the corporation.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6" w:name="page167"/>
    <w:bookmarkEnd w:id="166"/>
    <w:p>
      <w:pPr>
        <w:ind w:left="-40" w:firstLine="1304"/>
        <w:spacing w:after="0" w:line="259" w:lineRule="auto"/>
        <w:tabs>
          <w:tab w:leader="none" w:pos="1501"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Non-Exclusivity of Rights</w:t>
      </w:r>
      <w:r>
        <w:rPr>
          <w:rFonts w:ascii="Times New Roman" w:cs="Times New Roman" w:eastAsia="Times New Roman" w:hAnsi="Times New Roman"/>
          <w:sz w:val="18"/>
          <w:szCs w:val="18"/>
          <w:color w:val="auto"/>
        </w:rPr>
        <w:t>. The rights conferred on any person by this Bylaw shall not be exclusive of any other right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79" w:lineRule="exact"/>
        <w:rPr>
          <w:rFonts w:ascii="Times New Roman" w:cs="Times New Roman" w:eastAsia="Times New Roman" w:hAnsi="Times New Roman"/>
          <w:sz w:val="18"/>
          <w:szCs w:val="18"/>
          <w:b w:val="1"/>
          <w:bCs w:val="1"/>
          <w:color w:val="auto"/>
        </w:rPr>
      </w:pPr>
    </w:p>
    <w:p>
      <w:pPr>
        <w:ind w:left="-40" w:right="60" w:firstLine="1304"/>
        <w:spacing w:after="0" w:line="286" w:lineRule="auto"/>
        <w:tabs>
          <w:tab w:leader="none" w:pos="1481"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Survival of Rights</w:t>
      </w:r>
      <w:r>
        <w:rPr>
          <w:rFonts w:ascii="Times New Roman" w:cs="Times New Roman" w:eastAsia="Times New Roman" w:hAnsi="Times New Roman"/>
          <w:sz w:val="18"/>
          <w:szCs w:val="18"/>
          <w:color w:val="auto"/>
        </w:rPr>
        <w:t>. The rights conferred on any person by this Bylaw shall continue as to a person who has ceased to be a director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or officer, employee or other agent and shall inure to the benefit of the heirs, executors and administrators of such a person.</w:t>
      </w:r>
    </w:p>
    <w:p>
      <w:pPr>
        <w:spacing w:after="0" w:line="154" w:lineRule="exact"/>
        <w:rPr>
          <w:rFonts w:ascii="Times New Roman" w:cs="Times New Roman" w:eastAsia="Times New Roman" w:hAnsi="Times New Roman"/>
          <w:sz w:val="18"/>
          <w:szCs w:val="18"/>
          <w:b w:val="1"/>
          <w:bCs w:val="1"/>
          <w:color w:val="auto"/>
        </w:rPr>
      </w:pPr>
    </w:p>
    <w:p>
      <w:pPr>
        <w:ind w:left="-40" w:right="120" w:firstLine="1304"/>
        <w:spacing w:after="0" w:line="286" w:lineRule="auto"/>
        <w:tabs>
          <w:tab w:leader="none" w:pos="1511"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To the fullest extent permitted by the DGCL or any other applicable law, the corporation, upon approval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may purchase insurance on behalf of any person required or permitted to be indemnified pursuant to this section.</w:t>
      </w:r>
    </w:p>
    <w:p>
      <w:pPr>
        <w:spacing w:after="0" w:line="154" w:lineRule="exact"/>
        <w:rPr>
          <w:rFonts w:ascii="Times New Roman" w:cs="Times New Roman" w:eastAsia="Times New Roman" w:hAnsi="Times New Roman"/>
          <w:sz w:val="18"/>
          <w:szCs w:val="18"/>
          <w:b w:val="1"/>
          <w:bCs w:val="1"/>
          <w:color w:val="auto"/>
        </w:rPr>
      </w:pPr>
    </w:p>
    <w:p>
      <w:pPr>
        <w:ind w:left="-40" w:right="160" w:firstLine="1304"/>
        <w:spacing w:after="0" w:line="268" w:lineRule="auto"/>
        <w:tabs>
          <w:tab w:leader="none" w:pos="1521"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Any amendment, repeal or modification of this section shall only be prospective and shall not affect the rights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Bylaw in effect at the time of the alleged occurrence of any action or omission to act that is the cause of any proceeding against any agent of the corporation.</w:t>
      </w:r>
    </w:p>
    <w:p>
      <w:pPr>
        <w:spacing w:after="0" w:line="170" w:lineRule="exact"/>
        <w:rPr>
          <w:rFonts w:ascii="Times New Roman" w:cs="Times New Roman" w:eastAsia="Times New Roman" w:hAnsi="Times New Roman"/>
          <w:sz w:val="18"/>
          <w:szCs w:val="18"/>
          <w:b w:val="1"/>
          <w:bCs w:val="1"/>
          <w:color w:val="auto"/>
        </w:rPr>
      </w:pPr>
    </w:p>
    <w:p>
      <w:pPr>
        <w:ind w:left="-40" w:firstLine="1304"/>
        <w:spacing w:after="0" w:line="262" w:lineRule="auto"/>
        <w:tabs>
          <w:tab w:leader="none" w:pos="1471"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Saving Clause</w:t>
      </w:r>
      <w:r>
        <w:rPr>
          <w:rFonts w:ascii="Times New Roman" w:cs="Times New Roman" w:eastAsia="Times New Roman" w:hAnsi="Times New Roman"/>
          <w:sz w:val="18"/>
          <w:szCs w:val="18"/>
          <w:color w:val="auto"/>
        </w:rPr>
        <w:t>. If this Bylaw or any portion hereof shall be invalidated on any ground by any court of competent jurisdiction, then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w:t>
      </w:r>
    </w:p>
    <w:p>
      <w:pPr>
        <w:spacing w:after="0" w:line="176" w:lineRule="exact"/>
        <w:rPr>
          <w:rFonts w:ascii="Times New Roman" w:cs="Times New Roman" w:eastAsia="Times New Roman" w:hAnsi="Times New Roman"/>
          <w:sz w:val="18"/>
          <w:szCs w:val="18"/>
          <w:b w:val="1"/>
          <w:bCs w:val="1"/>
          <w:color w:val="auto"/>
        </w:rPr>
      </w:pPr>
    </w:p>
    <w:p>
      <w:pPr>
        <w:ind w:left="1480" w:hanging="216"/>
        <w:spacing w:after="0"/>
        <w:tabs>
          <w:tab w:leader="none" w:pos="148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Definitions</w:t>
      </w:r>
      <w:r>
        <w:rPr>
          <w:rFonts w:ascii="Times New Roman" w:cs="Times New Roman" w:eastAsia="Times New Roman" w:hAnsi="Times New Roman"/>
          <w:sz w:val="18"/>
          <w:szCs w:val="18"/>
          <w:color w:val="auto"/>
        </w:rPr>
        <w:t>. For the purposes of this Bylaw, the following definitions shall apply:</w:t>
      </w:r>
    </w:p>
    <w:p>
      <w:pPr>
        <w:spacing w:after="0" w:line="225" w:lineRule="exact"/>
        <w:rPr>
          <w:rFonts w:ascii="Times New Roman" w:cs="Times New Roman" w:eastAsia="Times New Roman" w:hAnsi="Times New Roman"/>
          <w:sz w:val="18"/>
          <w:szCs w:val="18"/>
          <w:b w:val="1"/>
          <w:bCs w:val="1"/>
          <w:color w:val="auto"/>
        </w:rPr>
      </w:pPr>
    </w:p>
    <w:p>
      <w:pPr>
        <w:ind w:left="-40" w:right="60" w:firstLine="1952"/>
        <w:spacing w:after="0" w:line="268" w:lineRule="auto"/>
        <w:tabs>
          <w:tab w:leader="none" w:pos="2119" w:val="left"/>
        </w:tabs>
        <w:numPr>
          <w:ilvl w:val="1"/>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45085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33" w:right="379" w:bottom="1440" w:gutter="0" w:footer="0" w:header="0"/>
        </w:sectPr>
      </w:pPr>
    </w:p>
    <w:bookmarkStart w:id="167" w:name="page168"/>
    <w:bookmarkEnd w:id="167"/>
    <w:p>
      <w:pPr>
        <w:ind w:right="280" w:firstLine="1952"/>
        <w:spacing w:after="0" w:line="286" w:lineRule="auto"/>
        <w:tabs>
          <w:tab w:leader="none" w:pos="2209"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54" w:lineRule="exact"/>
        <w:rPr>
          <w:rFonts w:ascii="Times New Roman" w:cs="Times New Roman" w:eastAsia="Times New Roman" w:hAnsi="Times New Roman"/>
          <w:sz w:val="18"/>
          <w:szCs w:val="18"/>
          <w:b w:val="1"/>
          <w:bCs w:val="1"/>
          <w:color w:val="auto"/>
        </w:rPr>
      </w:pPr>
    </w:p>
    <w:p>
      <w:pPr>
        <w:ind w:firstLine="1952"/>
        <w:spacing w:after="0" w:line="257" w:lineRule="auto"/>
        <w:tabs>
          <w:tab w:leader="none" w:pos="2259"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or she would have with respect to such constituent corporation if its separate existence had continued.</w:t>
      </w:r>
    </w:p>
    <w:p>
      <w:pPr>
        <w:spacing w:after="0" w:line="182" w:lineRule="exact"/>
        <w:rPr>
          <w:rFonts w:ascii="Times New Roman" w:cs="Times New Roman" w:eastAsia="Times New Roman" w:hAnsi="Times New Roman"/>
          <w:sz w:val="18"/>
          <w:szCs w:val="18"/>
          <w:b w:val="1"/>
          <w:bCs w:val="1"/>
          <w:color w:val="auto"/>
        </w:rPr>
      </w:pPr>
    </w:p>
    <w:p>
      <w:pPr>
        <w:jc w:val="both"/>
        <w:ind w:right="160" w:firstLine="1952"/>
        <w:spacing w:after="0" w:line="268" w:lineRule="auto"/>
        <w:tabs>
          <w:tab w:leader="none" w:pos="2249"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70" w:lineRule="exact"/>
        <w:rPr>
          <w:rFonts w:ascii="Times New Roman" w:cs="Times New Roman" w:eastAsia="Times New Roman" w:hAnsi="Times New Roman"/>
          <w:sz w:val="18"/>
          <w:szCs w:val="18"/>
          <w:b w:val="1"/>
          <w:bCs w:val="1"/>
          <w:color w:val="auto"/>
        </w:rPr>
      </w:pPr>
    </w:p>
    <w:p>
      <w:pPr>
        <w:ind w:firstLine="1952"/>
        <w:spacing w:after="0" w:line="257" w:lineRule="auto"/>
        <w:tabs>
          <w:tab w:leader="none" w:pos="2199"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i w:val="1"/>
          <w:iCs w:val="1"/>
          <w:color w:val="auto"/>
        </w:rPr>
        <w:t>serving at the request of the corporation</w:t>
      </w:r>
      <w:r>
        <w:rPr>
          <w:rFonts w:ascii="Times New Roman" w:cs="Times New Roman" w:eastAsia="Times New Roman" w:hAnsi="Times New Roman"/>
          <w:sz w:val="18"/>
          <w:szCs w:val="18"/>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8"/>
          <w:szCs w:val="18"/>
          <w:b w:val="1"/>
          <w:bCs w:val="1"/>
          <w:i w:val="1"/>
          <w:iCs w:val="1"/>
          <w:color w:val="auto"/>
        </w:rPr>
        <w:t>not opposed to the best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interests of the corporation</w:t>
      </w:r>
      <w:r>
        <w:rPr>
          <w:rFonts w:ascii="Times New Roman" w:cs="Times New Roman" w:eastAsia="Times New Roman" w:hAnsi="Times New Roman"/>
          <w:sz w:val="18"/>
          <w:szCs w:val="18"/>
          <w:color w:val="auto"/>
        </w:rPr>
        <w:t>” as referred to in this section.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46.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304"/>
        <w:spacing w:after="0" w:line="269" w:lineRule="auto"/>
        <w:tabs>
          <w:tab w:leader="none" w:pos="1551" w:val="left"/>
        </w:tabs>
        <w:numPr>
          <w:ilvl w:val="1"/>
          <w:numId w:val="1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 to Stockholders</w:t>
      </w:r>
      <w:r>
        <w:rPr>
          <w:rFonts w:ascii="Times New Roman" w:cs="Times New Roman" w:eastAsia="Times New Roman" w:hAnsi="Times New Roman"/>
          <w:sz w:val="17"/>
          <w:szCs w:val="17"/>
          <w:color w:val="auto"/>
        </w:rPr>
        <w:t>. Notice to stockholders of stockholder meetings shall be given as provided in Section 7 herein.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limiting the manner by which notice may otherwise be given effectively to stockholders, including under any agreement or contract with such stockholder, subject to Section 232(e) of the DGCL, any written notice to stockholders given by the corporation under any provision of the DGCL, the Certificate of Incorporation or the Bylaws shall be effective if given by a form of electronic transmission consented to by the stockholder to whom the notice is given. Any such consent shall be revocable by the stockholder by written notice or electronic transmission to the corporation. Notice shall be deemed given pursuant to this Section 45, (1) if by facsimile telecommunication, when directed to a number at which the stockholder has consented to receive notice;</w:t>
      </w:r>
    </w:p>
    <w:p>
      <w:pPr>
        <w:spacing w:after="0" w:line="3" w:lineRule="exact"/>
        <w:rPr>
          <w:rFonts w:ascii="Times New Roman" w:cs="Times New Roman" w:eastAsia="Times New Roman" w:hAnsi="Times New Roman"/>
          <w:sz w:val="17"/>
          <w:szCs w:val="17"/>
          <w:b w:val="1"/>
          <w:bCs w:val="1"/>
          <w:color w:val="auto"/>
        </w:rPr>
      </w:pPr>
    </w:p>
    <w:p>
      <w:pPr>
        <w:ind w:left="260" w:hanging="252"/>
        <w:spacing w:after="0"/>
        <w:tabs>
          <w:tab w:leader="none" w:pos="2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 (a) such posting, and</w:t>
      </w:r>
    </w:p>
    <w:p>
      <w:pPr>
        <w:spacing w:after="0" w:line="9" w:lineRule="exact"/>
        <w:rPr>
          <w:rFonts w:ascii="Times New Roman" w:cs="Times New Roman" w:eastAsia="Times New Roman" w:hAnsi="Times New Roman"/>
          <w:sz w:val="18"/>
          <w:szCs w:val="18"/>
          <w:color w:val="auto"/>
        </w:rPr>
      </w:pPr>
    </w:p>
    <w:p>
      <w:pPr>
        <w:ind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giving of such separate notice; and (3) if by any other form of electronic transmission, when directed to the stockholder. For purposes of these Bylaws, (1) “</w:t>
      </w:r>
      <w:r>
        <w:rPr>
          <w:rFonts w:ascii="Times New Roman" w:cs="Times New Roman" w:eastAsia="Times New Roman" w:hAnsi="Times New Roman"/>
          <w:sz w:val="18"/>
          <w:szCs w:val="18"/>
          <w:b w:val="1"/>
          <w:bCs w:val="1"/>
          <w:i w:val="1"/>
          <w:i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(2) “</w:t>
      </w:r>
      <w:r>
        <w:rPr>
          <w:rFonts w:ascii="Times New Roman" w:cs="Times New Roman" w:eastAsia="Times New Roman" w:hAnsi="Times New Roman"/>
          <w:sz w:val="18"/>
          <w:szCs w:val="18"/>
          <w:b w:val="1"/>
          <w:bCs w:val="1"/>
          <w:i w:val="1"/>
          <w:iCs w:val="1"/>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and (3) “</w:t>
      </w:r>
      <w:r>
        <w:rPr>
          <w:rFonts w:ascii="Times New Roman" w:cs="Times New Roman" w:eastAsia="Times New Roman" w:hAnsi="Times New Roman"/>
          <w:sz w:val="18"/>
          <w:szCs w:val="18"/>
          <w:b w:val="1"/>
          <w:bCs w:val="1"/>
          <w:i w:val="1"/>
          <w:iCs w:val="1"/>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8" w:name="page169"/>
    <w:bookmarkEnd w:id="168"/>
    <w:p>
      <w:pPr>
        <w:ind w:right="160" w:firstLine="1304"/>
        <w:spacing w:after="0" w:line="268" w:lineRule="auto"/>
        <w:tabs>
          <w:tab w:leader="none" w:pos="1561"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Directors</w:t>
      </w:r>
      <w:r>
        <w:rPr>
          <w:rFonts w:ascii="Times New Roman" w:cs="Times New Roman" w:eastAsia="Times New Roman" w:hAnsi="Times New Roman"/>
          <w:sz w:val="18"/>
          <w:szCs w:val="18"/>
          <w:color w:val="auto"/>
        </w:rPr>
        <w:t>. Any notice required to be given to any director may be given by the method stated in subsection (a) or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provided in these Bylaws, with notice other than one which is delivered personally to be sent to such address as such director shall have filed in writing with the Secretary, or, in the absence of such filing, to the last known address of such director.</w:t>
      </w:r>
    </w:p>
    <w:p>
      <w:pPr>
        <w:spacing w:after="0" w:line="170" w:lineRule="exact"/>
        <w:rPr>
          <w:rFonts w:ascii="Times New Roman" w:cs="Times New Roman" w:eastAsia="Times New Roman" w:hAnsi="Times New Roman"/>
          <w:sz w:val="18"/>
          <w:szCs w:val="18"/>
          <w:b w:val="1"/>
          <w:bCs w:val="1"/>
          <w:color w:val="auto"/>
        </w:rPr>
      </w:pPr>
    </w:p>
    <w:p>
      <w:pPr>
        <w:jc w:val="both"/>
        <w:ind w:right="240" w:firstLine="1304"/>
        <w:spacing w:after="0" w:line="262" w:lineRule="auto"/>
        <w:tabs>
          <w:tab w:leader="none" w:pos="1541"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Affidavit of Mailing</w:t>
      </w:r>
      <w:r>
        <w:rPr>
          <w:rFonts w:ascii="Times New Roman" w:cs="Times New Roman" w:eastAsia="Times New Roman" w:hAnsi="Times New Roman"/>
          <w:sz w:val="18"/>
          <w:szCs w:val="18"/>
          <w:color w:val="auto"/>
        </w:rPr>
        <w:t>. An affidavit of mailing, executed by a duly authorized and competent employee of the corporation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6" w:lineRule="exact"/>
        <w:rPr>
          <w:rFonts w:ascii="Times New Roman" w:cs="Times New Roman" w:eastAsia="Times New Roman" w:hAnsi="Times New Roman"/>
          <w:sz w:val="18"/>
          <w:szCs w:val="18"/>
          <w:b w:val="1"/>
          <w:bCs w:val="1"/>
          <w:color w:val="auto"/>
        </w:rPr>
      </w:pPr>
    </w:p>
    <w:p>
      <w:pPr>
        <w:jc w:val="both"/>
        <w:ind w:right="100" w:firstLine="1304"/>
        <w:spacing w:after="0" w:line="268" w:lineRule="auto"/>
        <w:tabs>
          <w:tab w:leader="none" w:pos="1561"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Methods of Notice</w:t>
      </w:r>
      <w:r>
        <w:rPr>
          <w:rFonts w:ascii="Times New Roman" w:cs="Times New Roman" w:eastAsia="Times New Roman" w:hAnsi="Times New Roman"/>
          <w:sz w:val="18"/>
          <w:szCs w:val="18"/>
          <w:color w:val="auto"/>
        </w:rPr>
        <w:t>. It shall not be necessary that the same method of giving notice be employed in respect of all recipients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one permissible method may be employed in respect of any one or more, and any other permissible method or methods may be employed in respect of any other or others.</w:t>
      </w:r>
    </w:p>
    <w:p>
      <w:pPr>
        <w:spacing w:after="0" w:line="170" w:lineRule="exact"/>
        <w:rPr>
          <w:rFonts w:ascii="Times New Roman" w:cs="Times New Roman" w:eastAsia="Times New Roman" w:hAnsi="Times New Roman"/>
          <w:sz w:val="18"/>
          <w:szCs w:val="18"/>
          <w:b w:val="1"/>
          <w:bCs w:val="1"/>
          <w:color w:val="auto"/>
        </w:rPr>
      </w:pPr>
    </w:p>
    <w:p>
      <w:pPr>
        <w:ind w:right="80" w:firstLine="1304"/>
        <w:spacing w:after="0" w:line="256" w:lineRule="auto"/>
        <w:tabs>
          <w:tab w:leader="none" w:pos="1541"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Person with Whom Communication is Unlawful</w:t>
      </w:r>
      <w:r>
        <w:rPr>
          <w:rFonts w:ascii="Times New Roman" w:cs="Times New Roman" w:eastAsia="Times New Roman" w:hAnsi="Times New Roman"/>
          <w:sz w:val="18"/>
          <w:szCs w:val="18"/>
          <w:color w:val="auto"/>
        </w:rPr>
        <w:t>. Whenever notice is required to be given, under any provision of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Certificate of Incorporation or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82" w:lineRule="exact"/>
        <w:rPr>
          <w:rFonts w:ascii="Times New Roman" w:cs="Times New Roman" w:eastAsia="Times New Roman" w:hAnsi="Times New Roman"/>
          <w:sz w:val="18"/>
          <w:szCs w:val="18"/>
          <w:b w:val="1"/>
          <w:bCs w:val="1"/>
          <w:color w:val="auto"/>
        </w:rPr>
      </w:pPr>
    </w:p>
    <w:p>
      <w:pPr>
        <w:ind w:right="40" w:firstLine="1304"/>
        <w:spacing w:after="0" w:line="259" w:lineRule="auto"/>
        <w:tabs>
          <w:tab w:leader="none" w:pos="1521"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Stockholders Sharing an Address</w:t>
      </w:r>
      <w:r>
        <w:rPr>
          <w:rFonts w:ascii="Times New Roman" w:cs="Times New Roman" w:eastAsia="Times New Roman" w:hAnsi="Times New Roman"/>
          <w:sz w:val="18"/>
          <w:szCs w:val="18"/>
          <w:color w:val="auto"/>
        </w:rPr>
        <w:t>. Except as otherwise prohibited under the DGCL, any notice given under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47. Amendments</w:t>
      </w:r>
      <w:r>
        <w:rPr>
          <w:rFonts w:ascii="Times New Roman" w:cs="Times New Roman" w:eastAsia="Times New Roman" w:hAnsi="Times New Roman"/>
          <w:sz w:val="18"/>
          <w:szCs w:val="18"/>
          <w:color w:val="auto"/>
        </w:rPr>
        <w:t>. Subject to the limitations set forth in Section 44(h) of these Bylaws or the provisions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the Board of Directors is expressly empowered to adopt, amend or repeal the Bylaws. Any adoption, amendment or repeal of the Bylaws by the Board of Directors shall require the approval of a majority of the authorized number of directors. The stockholders also shall have power to adopt, amend or repeal the Bylaws; provided, however, that, in addition to any vote of the holders of any class or series of stock of the corporation required by law or by the Certificate of Incorporation, such action by stockholders shall require the affirmative vote of the holders of at least sixty- six and two-thirds percent (66 2/3%) of the voting power of all of the then-outstanding shares of the capital stock of the corporation entitled to vote generally in the election of directors, voting together as a single class.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LOANS TO OFFICERS</w:t>
      </w:r>
    </w:p>
    <w:p>
      <w:pPr>
        <w:spacing w:after="0" w:line="225"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48. Loans to Officers</w:t>
      </w:r>
      <w:r>
        <w:rPr>
          <w:rFonts w:ascii="Times New Roman" w:cs="Times New Roman" w:eastAsia="Times New Roman" w:hAnsi="Times New Roman"/>
          <w:sz w:val="18"/>
          <w:szCs w:val="18"/>
          <w:color w:val="auto"/>
        </w:rPr>
        <w:t>. Except as otherwise prohibited by applicable law, the corporation may lend money to, or guarantee any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9" w:name="page170"/>
    <w:bookmarkEnd w:id="169"/>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BOOKS AND RECORDS</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49. Books and Records</w:t>
      </w:r>
      <w:r>
        <w:rPr>
          <w:rFonts w:ascii="Times New Roman" w:cs="Times New Roman" w:eastAsia="Times New Roman" w:hAnsi="Times New Roman"/>
          <w:sz w:val="18"/>
          <w:szCs w:val="18"/>
          <w:color w:val="auto"/>
        </w:rPr>
        <w:t>. The books and records of the corporation may be kept within or outside the State of Delaware at such place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places as may from time to time be designated by the Board of Directors. Any books or records maintained by the corporation in the regular course of its business, including its stock ledger, books of account, and minute books, may be kept on, or by means of, or be in the form of, any information storage device or method; provided, however, that the books and records so kept can be converted into clearly legible paper form within a reasonable time. The corporation shall so convert any books or records so kept upon the request of any person entitled to inspect such records pursuant to the Certificate of Incorporation, these Bylaws or the DGCL.</w:t>
      </w:r>
    </w:p>
    <w:p>
      <w:pPr>
        <w:spacing w:after="0" w:line="35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333" w:right="55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F</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EARNOUT ELECTION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EARNOUT ELECTION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2022, is made and entered into by and among, (i) Health Sciences Acquisitions Corporation 2, a Cayman Islands exempted company (which shall deregister in the Cayman Islands and domesticate as a Delaware corporation prior to the Closing,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(ii) Orchestra BioMed,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(iii) the Company Securityholder set forth on the signature page hereto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Capitalized terms used but not otherwise defined in this Agreement shall have the meanings ascribed to such terms in the Merger Agreement (as defined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WHEREAS, Parent, HSAC Olympus Merger Sub, Inc., a Delaware corporation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the Company, are party to that certain Agreement and Plan of Merger, dated as of [●], 2022 (as amended or restated from time to time,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pursuant to which, at the Closing, Merger Sub will merge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and into the Company, with the Company surviving the Merger as a wholly owned subsidiary of Parent;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immediately prior to the Effective Time, all of the issued and outstanding shares of Company Preferred Stock held by Holder, if any, will automatically convert into shares of Company Common Stock in accordance with the applicable terms of the Company Certificate of Incorporation (the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at the Effective Time each share of Company Common Stock issued and outstanding immediately prior to the Effective Time (assuming completion of the Conversion) held by Holder will automatically be cancelled, extinguished and converted into the right to receive a number of Domesticated Parent Common Shares as calculated in accordance with Section 4.1(b) of the Merger Agreement (the “</w:t>
      </w:r>
      <w:r>
        <w:rPr>
          <w:rFonts w:ascii="Times New Roman" w:cs="Times New Roman" w:eastAsia="Times New Roman" w:hAnsi="Times New Roman"/>
          <w:sz w:val="18"/>
          <w:szCs w:val="18"/>
          <w:b w:val="1"/>
          <w:bCs w:val="1"/>
          <w:i w:val="1"/>
          <w:iCs w:val="1"/>
          <w:color w:val="auto"/>
        </w:rPr>
        <w:t>Merger Shares</w:t>
      </w:r>
      <w:r>
        <w:rPr>
          <w:rFonts w:ascii="Times New Roman" w:cs="Times New Roman" w:eastAsia="Times New Roman" w:hAnsi="Times New Roman"/>
          <w:sz w:val="18"/>
          <w:szCs w:val="18"/>
          <w:color w:val="auto"/>
        </w:rPr>
        <w:t>”); and</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WHEREAS, pursuant to Section 4.7 of the Merger Agreement (the “</w:t>
      </w:r>
      <w:r>
        <w:rPr>
          <w:rFonts w:ascii="Times New Roman" w:cs="Times New Roman" w:eastAsia="Times New Roman" w:hAnsi="Times New Roman"/>
          <w:sz w:val="18"/>
          <w:szCs w:val="18"/>
          <w:b w:val="1"/>
          <w:bCs w:val="1"/>
          <w:i w:val="1"/>
          <w:iCs w:val="1"/>
          <w:color w:val="auto"/>
        </w:rPr>
        <w:t>Earnout Provisions</w:t>
      </w:r>
      <w:r>
        <w:rPr>
          <w:rFonts w:ascii="Times New Roman" w:cs="Times New Roman" w:eastAsia="Times New Roman" w:hAnsi="Times New Roman"/>
          <w:sz w:val="18"/>
          <w:szCs w:val="18"/>
          <w:color w:val="auto"/>
        </w:rPr>
        <w:t>”), each Person that was a Company Stockholder immediately prior to the Effective Time (other than holders of Dissenting Shares) that delivers this Agreement or an agreement substantially similar to this Agreement duly executed to the Company (copies of which will be provided to Parent) will be entitled to, among other things, its Pro Rata Portion of the Earnout Shares, subject to the terms and conditions set forth in the Merger Agreement.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spacing w:after="0" w:line="162" w:lineRule="exact"/>
        <w:rPr>
          <w:sz w:val="20"/>
          <w:szCs w:val="20"/>
          <w:color w:val="auto"/>
        </w:rPr>
      </w:pPr>
    </w:p>
    <w:p>
      <w:pPr>
        <w:jc w:val="both"/>
        <w:ind w:firstLine="656"/>
        <w:spacing w:after="0" w:line="266" w:lineRule="auto"/>
        <w:tabs>
          <w:tab w:leader="none" w:pos="141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Earnout Election</w:t>
      </w:r>
      <w:r>
        <w:rPr>
          <w:rFonts w:ascii="Times New Roman" w:cs="Times New Roman" w:eastAsia="Times New Roman" w:hAnsi="Times New Roman"/>
          <w:sz w:val="18"/>
          <w:szCs w:val="18"/>
          <w:color w:val="auto"/>
        </w:rPr>
        <w:t>. The parties acknowledge and agree that, effective as of and contingent upon the Closing, Holder shall be deemed an “Earnout Participant” for purposes of the Earnout Provisions and, without limiting the foregoing, shall be entitled to the rights, benefits and privileges, and subject to the restrictions and obligations, of (a) an Earnout Participant under the Earnout Provisions and (b)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40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Security Interest</w:t>
      </w:r>
      <w:r>
        <w:rPr>
          <w:rFonts w:ascii="Times New Roman" w:cs="Times New Roman" w:eastAsia="Times New Roman" w:hAnsi="Times New Roman"/>
          <w:sz w:val="18"/>
          <w:szCs w:val="18"/>
          <w:color w:val="auto"/>
        </w:rPr>
        <w:t>. The parties intend that none of Holder’s rights to receive its portion of the Earnout Shares in accordance with the Merger Agreement (“</w:t>
      </w:r>
      <w:r>
        <w:rPr>
          <w:rFonts w:ascii="Times New Roman" w:cs="Times New Roman" w:eastAsia="Times New Roman" w:hAnsi="Times New Roman"/>
          <w:sz w:val="18"/>
          <w:szCs w:val="18"/>
          <w:b w:val="1"/>
          <w:bCs w:val="1"/>
          <w:i w:val="1"/>
          <w:iCs w:val="1"/>
          <w:color w:val="auto"/>
        </w:rPr>
        <w:t>Holder’s Earnout Rights</w:t>
      </w:r>
      <w:r>
        <w:rPr>
          <w:rFonts w:ascii="Times New Roman" w:cs="Times New Roman" w:eastAsia="Times New Roman" w:hAnsi="Times New Roman"/>
          <w:sz w:val="18"/>
          <w:szCs w:val="18"/>
          <w:color w:val="auto"/>
        </w:rPr>
        <w:t>”) and any interest therein shall be deemed to be a “security” for purposes of any securities law of any jurisdiction. Holder’s Earnout Rights are deemed contractual rights in connection with the Merger and the parties do not view Holder’s Earnout Rights as an investment by Holder. Holder’s Earnout Rights will not be represented by any physical certificate or similar instrument. Holder’s Earnout Rights do not represent an equity or ownership interest in any entity. No interest in Holder’s Earnout Rights may be sold, transferred assigned, pledged, hypothecated, encumbered or otherwise disposed of, except by operation of law, and any attempt to do so shall be null and void. For the avoidance of doubt, once issued to Holder, its portion of the Earnout Shares shall be considered a “security” for purposes of any securities law of any jurisdiction and the restrictions set forth in the foregoing sentence shall not apply to such issued Earnout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1" w:name="page172"/>
    <w:bookmarkEnd w:id="171"/>
    <w:p>
      <w:pPr>
        <w:ind w:left="1340" w:hanging="684"/>
        <w:spacing w:after="0"/>
        <w:tabs>
          <w:tab w:leader="none" w:pos="1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firstLine="1304"/>
        <w:spacing w:after="0" w:line="262" w:lineRule="auto"/>
        <w:tabs>
          <w:tab w:leader="none" w:pos="1845"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Holder shall not Transfer any Subject Shares (as defined below) (the “</w:t>
      </w:r>
      <w:r>
        <w:rPr>
          <w:rFonts w:ascii="Times New Roman" w:cs="Times New Roman" w:eastAsia="Times New Roman" w:hAnsi="Times New Roman"/>
          <w:sz w:val="18"/>
          <w:szCs w:val="18"/>
          <w:b w:val="1"/>
          <w:bCs w:val="1"/>
          <w:i w:val="1"/>
          <w:iCs w:val="1"/>
          <w:color w:val="auto"/>
        </w:rPr>
        <w:t>Lock-up</w:t>
      </w:r>
      <w:r>
        <w:rPr>
          <w:rFonts w:ascii="Times New Roman" w:cs="Times New Roman" w:eastAsia="Times New Roman" w:hAnsi="Times New Roman"/>
          <w:sz w:val="18"/>
          <w:szCs w:val="18"/>
          <w:color w:val="auto"/>
        </w:rPr>
        <w:t>”) until the date that is the earlier of (i) one (1) year from the date of the Closing or (ii) the date on which Parent completes a liquidation, merger, stock exchange, reorganization or other similar transaction that results in all of Parent’s stockholders having the right to exchange their Domesticated Parent Common Shares for cash, securities or other property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firstLine="1304"/>
        <w:spacing w:after="0" w:line="286" w:lineRule="auto"/>
        <w:tabs>
          <w:tab w:leader="none" w:pos="189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Subject Shares</w:t>
      </w:r>
      <w:r>
        <w:rPr>
          <w:rFonts w:ascii="Times New Roman" w:cs="Times New Roman" w:eastAsia="Times New Roman" w:hAnsi="Times New Roman"/>
          <w:sz w:val="18"/>
          <w:szCs w:val="18"/>
          <w:color w:val="auto"/>
        </w:rPr>
        <w:t>” shall mean any (i) Merger Shares and (ii) Earnout Shares issued prior to the expiration of the Lock-Up Period, in each case, that are beneficially owned or owned of record by such Holder.</w:t>
      </w:r>
    </w:p>
    <w:p>
      <w:pPr>
        <w:spacing w:after="0" w:line="154" w:lineRule="exact"/>
        <w:rPr>
          <w:rFonts w:ascii="Times New Roman" w:cs="Times New Roman" w:eastAsia="Times New Roman" w:hAnsi="Times New Roman"/>
          <w:sz w:val="18"/>
          <w:szCs w:val="18"/>
          <w:color w:val="auto"/>
        </w:rPr>
      </w:pPr>
    </w:p>
    <w:p>
      <w:pPr>
        <w:jc w:val="both"/>
        <w:ind w:firstLine="1304"/>
        <w:spacing w:after="0" w:line="257" w:lineRule="auto"/>
        <w:tabs>
          <w:tab w:leader="none" w:pos="1811"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the (i) the sale or assignment of, offer to sell, contract or agreement to sell,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Subject Shares, (ii) entry into any swap or other arrangement that transfers to another, in whole or in part, any of the economic consequences of ownership of any Subject Shares, whether any such transaction is to be settled by delivery of such securities, in cash or otherwise, or (iii) public announcement of any intention to effect any transaction specified in clause (i) or (ii).</w:t>
      </w:r>
    </w:p>
    <w:p>
      <w:pPr>
        <w:spacing w:after="0" w:line="186"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Lock-Up</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not apply to:</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Subject Shares as a bona fide gift or charitable contribution;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71"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Subject Shares to a trust, family limited partnership or other entity formed for estate planning purposes for the primary benefit of the spouse, domestic partner, parent, sibling, child or grandchild of Holder or any other person with whom Holder has a relationship by blood, marriage or adoption not more remote than first cousin and Transfers to any such family member;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85"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Subject Shares by will or intestate succession or the laws of descent and distributions upon the death of Holder (it being understood and agreed that the appointment of one or more executors, administrators or personal representatives of the estate of Holder shall not be deemed a Transfer hereunder to the extent that such executors, administrators and/or personal representatives comply with the terms of this Agreement on behalf of such estate);</w:t>
      </w:r>
    </w:p>
    <w:p>
      <w:pPr>
        <w:spacing w:after="0" w:line="179"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Subject Shares pursuant to a qualified domestic order or in connection with a divorce settlement;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8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 is a corporation, partnership (whether general, limited or otherwise), limited liability company, trust or other business entity, (i) Transfers of Subject Shares to another corporation, partnership, limited liability company, trust or other business entity that controls, is controlled by or is under common control or management with Holder (including, for the avoidance of doubt, where such Holder is a partnership, to its general partner or a successor partnership or fund, or any other funds managed by such partnership), or (ii) Transfers of Subject Shares as part of a dividend, distribution, transfer or other disposition of shares to partners, limited liability company members, direct or indirect stockholders or other equity holders of Holder, including, for the avoidance of doubt, where such Holder is a partnership, to its general partner or a successor partnership, fund or investment vehicle, or any other partnerships, funds or investment vehicles controlled or managed by such partnership;</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2" w:name="page173"/>
    <w:bookmarkEnd w:id="172"/>
    <w:p>
      <w:pPr>
        <w:ind w:left="1880" w:hanging="576"/>
        <w:spacing w:after="0"/>
        <w:tabs>
          <w:tab w:leader="none" w:pos="18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 is a trust, Transfers of Subject Shares to a trustor or beneficiary of such trust or to the estate of a beneficiary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w:t>
      </w:r>
    </w:p>
    <w:p>
      <w:pPr>
        <w:spacing w:after="0" w:line="207" w:lineRule="exact"/>
        <w:rPr>
          <w:sz w:val="20"/>
          <w:szCs w:val="20"/>
          <w:color w:val="auto"/>
        </w:rPr>
      </w:pPr>
    </w:p>
    <w:p>
      <w:pPr>
        <w:ind w:left="1820" w:hanging="516"/>
        <w:spacing w:after="0"/>
        <w:tabs>
          <w:tab w:leader="none" w:pos="18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Subject Shares to Parent’s or Holder’s officers, directors, members, consultants or their affiliates;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3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of Subject Shares as security or collateral in connection with any borrowing or the incurrence of any indebtedness by any Holder (provided such borrowing or incurrence of indebtedness is secured by a portfolio of assets or equity interests issued by multiple issuers);</w:t>
      </w:r>
    </w:p>
    <w:p>
      <w:pPr>
        <w:spacing w:after="0" w:line="15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3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Subject Shares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third-party tender offer, merger, asset acquisition, stock sale, recapitalization, consolidation, business combination or other transaction or series of related transactions involving a Change in Control in Parent, provided that in the event that such tender offer, merger, asset acquisition, stock sale, recapitalization, consolidation, business combination or other such transaction is not completed, the securities subject to this Agreement shall remain subject to this Agreement;</w:t>
      </w:r>
    </w:p>
    <w:p>
      <w:pPr>
        <w:spacing w:after="0" w:line="181" w:lineRule="exact"/>
        <w:rPr>
          <w:rFonts w:ascii="Times New Roman" w:cs="Times New Roman" w:eastAsia="Times New Roman" w:hAnsi="Times New Roman"/>
          <w:sz w:val="18"/>
          <w:szCs w:val="18"/>
          <w:color w:val="auto"/>
        </w:rPr>
      </w:pPr>
    </w:p>
    <w:p>
      <w:pPr>
        <w:ind w:firstLine="1304"/>
        <w:spacing w:after="0" w:line="282" w:lineRule="auto"/>
        <w:tabs>
          <w:tab w:leader="none" w:pos="178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Subject Shares to Parent in connection with the liquidation or dissolution of Parent by virtue of the laws of the state of Parent’s organization and Parent’s organizational documents;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8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promulgated under the Exchange Act, provided that such plan does not provide for the Transfer of any Subject Shares during the Lock-Up Period;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1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Subject Shares to satisfy any U.S. federal, state, or local income tax obligations of the Lock-up Party (or its direct or indirect owners) arising from a change in the U.S.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or the U.S. Treasury Regulations promulgated thereunder (the “</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after the date on which the Merger Agreement was executed by the parties, and such change prevents the Merger from qualifying as a “reorganization” pursuant to Section 368 of the Code (and the Merger does not qualify for similar tax-free treatment pursuant to any successor or other provision of the Code or Regulations taking into account such changes), in each case solely and to the extent necessary to cover any tax liability as a direct result of the transaction;</w:t>
      </w:r>
    </w:p>
    <w:p>
      <w:pPr>
        <w:spacing w:after="0" w:line="18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PROVIDED, THAT IN THE CASE OF ANY TRANSFER OR DISTRIBUTION PURSUANT TO SECTIONS 4(a) THROUGH 4(g) AND 4(l), EACH DONEE, DISTRIBUTEE OR OTHER TRANSFEREE SHALL AGREE IN WRITING, IN FORM AND SUBSTANCE REASONABLY SATISFACTORY TO PARENT, TO BE BOUND BY THE PROVISIONS OF THIS AGREEMENT.</w:t>
      </w:r>
    </w:p>
    <w:p>
      <w:pPr>
        <w:spacing w:after="0" w:line="175" w:lineRule="exact"/>
        <w:rPr>
          <w:sz w:val="20"/>
          <w:szCs w:val="20"/>
          <w:color w:val="auto"/>
        </w:rPr>
      </w:pPr>
    </w:p>
    <w:p>
      <w:pPr>
        <w:jc w:val="both"/>
        <w:ind w:firstLine="656"/>
        <w:spacing w:after="0" w:line="266" w:lineRule="auto"/>
        <w:tabs>
          <w:tab w:leader="none" w:pos="132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Null and Void</w:t>
      </w:r>
      <w:r>
        <w:rPr>
          <w:rFonts w:ascii="Times New Roman" w:cs="Times New Roman" w:eastAsia="Times New Roman" w:hAnsi="Times New Roman"/>
          <w:sz w:val="18"/>
          <w:szCs w:val="18"/>
          <w:color w:val="auto"/>
        </w:rPr>
        <w:t xml:space="preserve">. If any Transfer of Subject Shares prior to the end of the Lock-up Period is made or attempted contrary to the provisions of this Agreement, such purported Transfer shall be null and void </w:t>
      </w:r>
      <w:r>
        <w:rPr>
          <w:rFonts w:ascii="Times New Roman" w:cs="Times New Roman" w:eastAsia="Times New Roman" w:hAnsi="Times New Roman"/>
          <w:sz w:val="18"/>
          <w:szCs w:val="18"/>
          <w:i w:val="1"/>
          <w:iCs w:val="1"/>
          <w:color w:val="auto"/>
        </w:rPr>
        <w:t>ab initi</w:t>
      </w:r>
      <w:r>
        <w:rPr>
          <w:rFonts w:ascii="Times New Roman" w:cs="Times New Roman" w:eastAsia="Times New Roman" w:hAnsi="Times New Roman"/>
          <w:sz w:val="18"/>
          <w:szCs w:val="18"/>
          <w:color w:val="auto"/>
        </w:rPr>
        <w:t>o, and Parent shall refuse to recognize any such purported transferee of such Subject Shares as one of its equityholders for any purpose.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3" w:name="page174"/>
    <w:bookmarkEnd w:id="173"/>
    <w:p>
      <w:pPr>
        <w:ind w:firstLine="656"/>
        <w:spacing w:after="0" w:line="282" w:lineRule="auto"/>
        <w:tabs>
          <w:tab w:leader="none" w:pos="151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During the Lock-up Period, each certificate evidencing any Subject Shares shall be stamped or otherwise imprinted with a legend in substantially the following form, in addition to any other applicable legends: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ARE SUBJECT TO RESTRICTIONS ON TRANSFER SET FORTH IN AN EARNOUT ELECTION AGREEMENT, DATED AS OF [•], 2022 (AS MAY BE AMENDED OR RESTATED FROM TIME TO TIME), A COPY OF WHICH IS ON FILE WITH THE SECRETARY OF THE COMPANY. NO TRANSFER, SALE, ASSIGNMENT, PLEDGE, HYPOTHECATION OR OTHER DISPOSITION OF THE SECURITIES REPRESENTED BY THIS CERTIFICATE MAY BE MADE EXCEPT IN ACCORDANCE WITH THE PROVISIONS OF SUCH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Promptly upon the expiration of the Lock-up Period, Parent shall cause the removal of such legend and, if determined appropriate by Parent, any restrictive legend related to compliance with the federal securities laws from the certificates evidencing the Subject Shares.</w:t>
      </w:r>
    </w:p>
    <w:p>
      <w:pPr>
        <w:spacing w:after="0" w:line="162" w:lineRule="exact"/>
        <w:rPr>
          <w:sz w:val="20"/>
          <w:szCs w:val="20"/>
          <w:color w:val="auto"/>
        </w:rPr>
      </w:pPr>
    </w:p>
    <w:p>
      <w:pPr>
        <w:jc w:val="both"/>
        <w:ind w:firstLine="656"/>
        <w:spacing w:after="0" w:line="253" w:lineRule="auto"/>
        <w:tabs>
          <w:tab w:leader="none" w:pos="133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Holder represents and warrants to Parent and the Company as follows: (a) this Agreement has been duly executed and delivered by Holder and, assuming due authorization, execution and delivery by the other parties to this Agreement, this Agreement constitutes a legally valid and binding obligation of Holder, enforceable against Holder in accordance with the terms hereof (except as enforceability may be limited by bankruptcy Laws, other similar Laws affecting creditors’ rights and general principles of equity affecting the availability of specific performance and other equitable remedies); (b) the execution and delivery of this Agreement by Holder does not, and the performance by Holder of his, her or its obligations hereunder will not, (i) if such Holder is not an individual, conflict with or result in a violation of the organizational documents of Holder or (ii) require any consent or approval that has not been given or other action that has not been taken by any Person (including under any contract binding upon Holder), in each case, to the extent such consent, approval or other action would prevent, enjoin or materially delay the performance by Holder of its, his or her obligations under this Agreement; (c) Holder has not entered into, and shall not enter into or otherwise amend, any contract or other agreement that would result in the restriction, limitation or interference with the performance of Holder’s obligations hereunder; (d) Holder acknowledges that it has had the opportunity to review this Agreement and the transactions contemplated by this Agreement with Holder’s own legal counsel, investment and tax advisors; and (e) Holder is not relying on any statements or representations of Parent or any of its representatives or agents for legal, tax or investment advice with respect to this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52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hereunder shall be sent in writing, addressed as specified below, and shall be deemed given: (a) if by hand or recognized courier service, by 4:00 PM on a business day, addressee’s day and time, on the date of delivery, and otherwise on the first business day after such delivery; (b) if by fax or email, on the date that transmission is confirmed electronically, if by 4:00 PM on a business day, addressee’s day and time, and otherwise on the first business day after the date of such confirmation; or (c) five days after mailing by certified or registered mail, return receipt requested. Notices shall be addressed to the respective parties as follows, or to such other address as a party shall specify to the others in accordance with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Parent or the Company,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Orchestra BioMed,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150 Union Square Drive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Hope PA 18938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David Hochman, Chairman &amp; CEO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DHochman@orchestrabiomed.com,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4" w:name="page175"/>
    <w:bookmarkEnd w:id="174"/>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10166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Samuel A. Waxman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samuelwaxman@paulhastings.com;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any Holder, at such Holder’s address or contact information as set forth in Parent’s books and records.</w:t>
      </w:r>
    </w:p>
    <w:p>
      <w:pPr>
        <w:spacing w:after="0" w:line="225" w:lineRule="exact"/>
        <w:rPr>
          <w:sz w:val="20"/>
          <w:szCs w:val="20"/>
          <w:color w:val="auto"/>
        </w:rPr>
      </w:pPr>
    </w:p>
    <w:p>
      <w:pPr>
        <w:jc w:val="both"/>
        <w:ind w:firstLine="656"/>
        <w:spacing w:after="0" w:line="266" w:lineRule="auto"/>
        <w:tabs>
          <w:tab w:leader="none" w:pos="1417"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separate counterparts, each of which shall constitute an original, and all of which together shall constitute one and the same agreement binding on all the parties hereto. This Agreement shall become effective upon delivery to each party of an executed counterpart or the earlier delivery to each party of original, photocopied, or electronically transmitted signature pages that together (but need not individually) bear the signatures of all other parties. For the avoidance of doubt, each party agrees that an electronic copy of this Agreement shall be considered and treated like an original, and that an electronic or digital signature shall be as valid as a handwritten signature (including</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.pdf or any electronic signature complying with the U.S. federal ESIGN Act of 2000 (e.g., www.docusign.com)).</w:t>
      </w:r>
    </w:p>
    <w:p>
      <w:pPr>
        <w:spacing w:after="0" w:line="206" w:lineRule="exact"/>
        <w:rPr>
          <w:rFonts w:ascii="Times New Roman" w:cs="Times New Roman" w:eastAsia="Times New Roman" w:hAnsi="Times New Roman"/>
          <w:sz w:val="18"/>
          <w:szCs w:val="18"/>
          <w:color w:val="auto"/>
        </w:rPr>
      </w:pPr>
    </w:p>
    <w:p>
      <w:pPr>
        <w:jc w:val="both"/>
        <w:ind w:firstLine="656"/>
        <w:spacing w:after="0" w:line="253" w:lineRule="auto"/>
        <w:tabs>
          <w:tab w:leader="none" w:pos="147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xml:space="preserve">. This Agreement shall be construed in accordance with and governed by the laws of the State of Delaware, without giving effect to the conflict of laws principles thereof. Any Action based upon, arising out of or related to this Agreement or the transactions contemplated hereby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(i) submits to the exclusive jurisdiction of each such court in any such proceeding or Action, (ii) waives any objection it may now or hereafter have to personal jurisdiction, venue or to convenience of forum, (iii) agrees that all claims in respect of the proceeding or Action shall be heard and determined only in any such court, and (iv) agrees not to bring any proceeding or Action arising out of or relating to this Agreement or the transactions contemplated hereby in any other court. Nothing herein contained shall be deemed to affect the right of any party to serve process in any manner permitted by Law or to commence Proceedings or otherwise proceed against any other party in any other jurisdiction, in each case, to enforce judgments obtained in any Action brought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149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PARTIES TO THIS AGREEMENT HEREBY KNOWINGLY, VOLUNTARILY AND IRREVOCABLY WAIVE ANY RIGHT EACH SUCH PARTY MAY HAVE TO TRIAL BY JURY IN ANY ACTION OF ANY KIND OR NATURE, IN ANY COURT IN WHICH AN ACTION MAY BE COMMENCED, ARISING OUT OF OR IN CONNECTION WITH THIS AGREEMENT OR ANY ADDITIONAL AGREEMENT, OR BY REASON OF ANY OTHER CAUSE OR DISPUTE WHATSOEVER BETWEEN OR AMONG ANY OF THE PARTIES TO THIS AGREEMENT OF ANY KIND OR NATURE. NO PARTY SHALL BE AWARDED PUNITIVE OR OTHER EXEMPLARY DAMAGES RESPECTING ANY DISPUTE ARISING UNDER THIS AGREEMENT OR ANY ADDITIONAL AGREEMENT.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5" w:name="page176"/>
    <w:bookmarkEnd w:id="175"/>
    <w:p>
      <w:pPr>
        <w:jc w:val="both"/>
        <w:ind w:left="-20" w:firstLine="656"/>
        <w:spacing w:after="0" w:line="266" w:lineRule="auto"/>
        <w:tabs>
          <w:tab w:leader="none" w:pos="133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w:t>
      </w:r>
      <w:r>
        <w:rPr>
          <w:rFonts w:ascii="Times New Roman" w:cs="Times New Roman" w:eastAsia="Times New Roman" w:hAnsi="Times New Roman"/>
          <w:sz w:val="18"/>
          <w:szCs w:val="18"/>
          <w:color w:val="auto"/>
        </w:rPr>
        <w:t>. 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35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upon the earlier of (a) termination of the Merger Agreement in accordance with its terms; (b) the later of (i) the expiration of the Lock-Up Period and (ii) the date in which all Earnout Shares to which Holder may be entitled to receive pursuant to Holder’s Earnout Rights have been issued to Holder; (c) the expiration of the Earnout Period; and (d) mutual written agreement by the parties.</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33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76" w:name="page177"/>
    <w:bookmarkEnd w:id="17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Earnout Election Agreement to be executed and delivered by their duly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SCIENCES ACQUISITIONS CORPORATION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ORCHESTRA BIOMED,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Hochman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566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ind w:left="10480"/>
        <w:spacing w:after="0"/>
        <w:rPr>
          <w:sz w:val="20"/>
          <w:szCs w:val="20"/>
          <w:color w:val="auto"/>
        </w:rPr>
      </w:pPr>
      <w:r>
        <w:rPr>
          <w:rFonts w:ascii="Times New Roman" w:cs="Times New Roman" w:eastAsia="Times New Roman" w:hAnsi="Times New Roman"/>
          <w:sz w:val="18"/>
          <w:szCs w:val="18"/>
          <w:b w:val="1"/>
          <w:bCs w:val="1"/>
          <w:u w:val="single" w:color="auto"/>
          <w:color w:val="auto"/>
        </w:rPr>
        <w:t>Exhibit G</w:t>
      </w:r>
    </w:p>
    <w:p>
      <w:pPr>
        <w:spacing w:after="0" w:line="25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Orchestra Biomed Holdings, Inc.</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The Board Of Directors: [•],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Stockholders: [•],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Date: [•], 2022</w:t>
      </w:r>
    </w:p>
    <w:p>
      <w:pPr>
        <w:spacing w:after="0" w:line="203" w:lineRule="exact"/>
        <w:rPr>
          <w:sz w:val="20"/>
          <w:szCs w:val="20"/>
          <w:color w:val="auto"/>
        </w:rPr>
      </w:pPr>
    </w:p>
    <w:p>
      <w:pPr>
        <w:ind w:left="1340" w:hanging="684"/>
        <w:spacing w:after="0"/>
        <w:tabs>
          <w:tab w:leader="none" w:pos="134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2021" w:val="left"/>
        </w:tabs>
        <w:numPr>
          <w:ilvl w:val="1"/>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Purpose</w:t>
      </w:r>
      <w:r>
        <w:rPr>
          <w:rFonts w:ascii="Times New Roman" w:cs="Times New Roman" w:eastAsia="Times New Roman" w:hAnsi="Times New Roman"/>
          <w:sz w:val="18"/>
          <w:szCs w:val="18"/>
          <w:color w:val="auto"/>
        </w:rPr>
        <w:t>. The Company, by means of the Plan, seeks to secure and retain the services of Employees,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0"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856" w:val="left"/>
        </w:tabs>
        <w:numPr>
          <w:ilvl w:val="1"/>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 Awards</w:t>
      </w:r>
      <w:r>
        <w:rPr>
          <w:rFonts w:ascii="Times New Roman" w:cs="Times New Roman" w:eastAsia="Times New Roman" w:hAnsi="Times New Roman"/>
          <w:sz w:val="18"/>
          <w:szCs w:val="18"/>
          <w:color w:val="auto"/>
        </w:rPr>
        <w:t>. The Plan provides for the grant of the following Awards: (i) Incentive Stock Options; (ii) Nonstatutory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(iii) SARs; (iv) Restricted Stock Awards; (v) RSU Awards; and (vi) Other Awards.</w:t>
      </w:r>
    </w:p>
    <w:p>
      <w:pPr>
        <w:spacing w:after="0" w:line="154" w:lineRule="exact"/>
        <w:rPr>
          <w:rFonts w:ascii="Times New Roman" w:cs="Times New Roman" w:eastAsia="Times New Roman" w:hAnsi="Times New Roman"/>
          <w:sz w:val="18"/>
          <w:szCs w:val="18"/>
          <w:b w:val="1"/>
          <w:bCs w:val="1"/>
          <w:color w:val="auto"/>
        </w:rPr>
      </w:pPr>
    </w:p>
    <w:p>
      <w:pPr>
        <w:ind w:left="1860" w:hanging="556"/>
        <w:spacing w:after="0"/>
        <w:tabs>
          <w:tab w:leader="none" w:pos="1860" w:val="left"/>
        </w:tabs>
        <w:numPr>
          <w:ilvl w:val="1"/>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Adoption Date; Effective Date</w:t>
      </w:r>
      <w:r>
        <w:rPr>
          <w:rFonts w:ascii="Times New Roman" w:cs="Times New Roman" w:eastAsia="Times New Roman" w:hAnsi="Times New Roman"/>
          <w:sz w:val="18"/>
          <w:szCs w:val="18"/>
          <w:color w:val="auto"/>
        </w:rPr>
        <w:t>. The Plan will come into existence on the Adoption Date, but no Award may be granted prior to</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Date.</w:t>
      </w:r>
    </w:p>
    <w:p>
      <w:pPr>
        <w:spacing w:after="0" w:line="202" w:lineRule="exact"/>
        <w:rPr>
          <w:rFonts w:ascii="Times New Roman" w:cs="Times New Roman" w:eastAsia="Times New Roman" w:hAnsi="Times New Roman"/>
          <w:sz w:val="18"/>
          <w:szCs w:val="18"/>
          <w:b w:val="1"/>
          <w:bCs w:val="1"/>
          <w:color w:val="auto"/>
        </w:rPr>
      </w:pPr>
    </w:p>
    <w:p>
      <w:pPr>
        <w:ind w:left="1380" w:hanging="724"/>
        <w:spacing w:after="0"/>
        <w:tabs>
          <w:tab w:leader="none" w:pos="138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35" w:lineRule="auto"/>
        <w:tabs>
          <w:tab w:leader="none" w:pos="1986" w:val="left"/>
        </w:tabs>
        <w:numPr>
          <w:ilvl w:val="1"/>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Subject to adjustment in accordance with Section 2(c) and any adjustments as necessary to implement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Capitalization Adjustments, the aggregate number of shares of Common Stock that may be issued pursuant to Awards will not exceed [•] shares plus a number of shares of Common Stock equal to the number of Returning Shares, if any,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2023 and ending on (and including) January 1, 2032, in an amount equal to the lesser of (i) [•]% of the total number of shares of Common Stock outstanding on December 31 of the preceding year, (ii) [•] shares of Common Stock, and (iii) such number of shares of Common Stock determined by the Board or the Compensation Committee prior to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a given year.</w:t>
      </w:r>
    </w:p>
    <w:p>
      <w:pPr>
        <w:spacing w:after="0" w:line="198" w:lineRule="exact"/>
        <w:rPr>
          <w:rFonts w:ascii="Times New Roman" w:cs="Times New Roman" w:eastAsia="Times New Roman" w:hAnsi="Times New Roman"/>
          <w:sz w:val="18"/>
          <w:szCs w:val="18"/>
          <w:b w:val="1"/>
          <w:bCs w:val="1"/>
          <w:color w:val="auto"/>
        </w:rPr>
      </w:pPr>
    </w:p>
    <w:p>
      <w:pPr>
        <w:jc w:val="both"/>
        <w:ind w:firstLine="1304"/>
        <w:spacing w:after="0" w:line="260" w:lineRule="auto"/>
        <w:tabs>
          <w:tab w:leader="none" w:pos="2070" w:val="left"/>
        </w:tabs>
        <w:numPr>
          <w:ilvl w:val="1"/>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Aggregate Incentive Stock Option Limit</w:t>
      </w:r>
      <w:r>
        <w:rPr>
          <w:rFonts w:ascii="Times New Roman" w:cs="Times New Roman" w:eastAsia="Times New Roman" w:hAnsi="Times New Roman"/>
          <w:sz w:val="18"/>
          <w:szCs w:val="18"/>
          <w:color w:val="auto"/>
        </w:rPr>
        <w:t>. Notwithstanding anything to the contrary in Section 2(a) and subject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as necessary to implement any Capitalization Adjustments, the aggregate maximum number of shares of Common Stock that may be issued pursuant to the exercise of Incentive Stock Options is [•] shares, which such amount shall be increased commencing on January 1, 2023 and ending on (and including) January 1, 2032, in an amount equal to the lesser of (i) [•]% of the total number of shares of Common Stock outstanding on December 31 of the preceding year, (ii) [•] shares of Common Stock, and (iii) such number of shares of Common Stock determined by the Board or the Compensation Committee prior to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a given year.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8" w:name="page179"/>
    <w:bookmarkEnd w:id="178"/>
    <w:p>
      <w:pPr>
        <w:ind w:left="1900" w:hanging="596"/>
        <w:spacing w:after="0"/>
        <w:tabs>
          <w:tab w:leader="none" w:pos="1900" w:val="left"/>
        </w:tabs>
        <w:numPr>
          <w:ilvl w:val="1"/>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952"/>
        <w:spacing w:after="0" w:line="257" w:lineRule="auto"/>
        <w:tabs>
          <w:tab w:leader="none" w:pos="2435" w:val="left"/>
        </w:tabs>
        <w:numPr>
          <w:ilvl w:val="2"/>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 Applies to Common Stock Issued Pursuant to Awards</w:t>
      </w:r>
      <w:r>
        <w:rPr>
          <w:rFonts w:ascii="Times New Roman" w:cs="Times New Roman" w:eastAsia="Times New Roman" w:hAnsi="Times New Roman"/>
          <w:sz w:val="18"/>
          <w:szCs w:val="18"/>
          <w:color w:val="auto"/>
        </w:rPr>
        <w:t>. For clarity, the Share Reserve is a limit on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2" w:lineRule="exact"/>
        <w:rPr>
          <w:rFonts w:ascii="Times New Roman" w:cs="Times New Roman" w:eastAsia="Times New Roman" w:hAnsi="Times New Roman"/>
          <w:sz w:val="18"/>
          <w:szCs w:val="18"/>
          <w:b w:val="1"/>
          <w:bCs w:val="1"/>
          <w:color w:val="auto"/>
        </w:rPr>
      </w:pPr>
    </w:p>
    <w:p>
      <w:pPr>
        <w:jc w:val="both"/>
        <w:ind w:firstLine="1952"/>
        <w:spacing w:after="0" w:line="255" w:lineRule="auto"/>
        <w:tabs>
          <w:tab w:leader="none" w:pos="2605" w:val="left"/>
        </w:tabs>
        <w:numPr>
          <w:ilvl w:val="2"/>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Actions that Do Not Constitute Issuance of Common Stock and Do Not Reduce Share Reserve</w:t>
      </w:r>
      <w:r>
        <w:rPr>
          <w:rFonts w:ascii="Times New Roman" w:cs="Times New Roman" w:eastAsia="Times New Roman" w:hAnsi="Times New Roman"/>
          <w:sz w:val="18"/>
          <w:szCs w:val="18"/>
          <w:color w:val="auto"/>
        </w:rPr>
        <w:t>.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For the avoidance of doubt, with respect to a SAR, only shares of Common Stock which are issued upon settlement of the SAR shall count towards reducing the number of shares available for issuance under the Plan.</w:t>
      </w:r>
    </w:p>
    <w:p>
      <w:pPr>
        <w:spacing w:after="0" w:line="184" w:lineRule="exact"/>
        <w:rPr>
          <w:rFonts w:ascii="Times New Roman" w:cs="Times New Roman" w:eastAsia="Times New Roman" w:hAnsi="Times New Roman"/>
          <w:sz w:val="18"/>
          <w:szCs w:val="18"/>
          <w:b w:val="1"/>
          <w:bCs w:val="1"/>
          <w:color w:val="auto"/>
        </w:rPr>
      </w:pPr>
    </w:p>
    <w:p>
      <w:pPr>
        <w:jc w:val="both"/>
        <w:ind w:firstLine="1952"/>
        <w:spacing w:after="0" w:line="259" w:lineRule="auto"/>
        <w:tabs>
          <w:tab w:leader="none" w:pos="2540" w:val="left"/>
        </w:tabs>
        <w:numPr>
          <w:ilvl w:val="2"/>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Reversion of Previously Issued Shares of Common Stock to Share Reserve</w:t>
      </w:r>
      <w:r>
        <w:rPr>
          <w:rFonts w:ascii="Times New Roman" w:cs="Times New Roman" w:eastAsia="Times New Roman" w:hAnsi="Times New Roman"/>
          <w:sz w:val="18"/>
          <w:szCs w:val="18"/>
          <w:color w:val="auto"/>
        </w:rPr>
        <w:t>. The following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79" w:lineRule="exact"/>
        <w:rPr>
          <w:rFonts w:ascii="Times New Roman" w:cs="Times New Roman" w:eastAsia="Times New Roman" w:hAnsi="Times New Roman"/>
          <w:sz w:val="18"/>
          <w:szCs w:val="18"/>
          <w:b w:val="1"/>
          <w:bCs w:val="1"/>
          <w:color w:val="auto"/>
        </w:rPr>
      </w:pPr>
    </w:p>
    <w:p>
      <w:pPr>
        <w:ind w:left="1340" w:hanging="684"/>
        <w:spacing w:after="0"/>
        <w:tabs>
          <w:tab w:leader="none" w:pos="134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and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2100" w:hanging="796"/>
        <w:spacing w:after="0"/>
        <w:tabs>
          <w:tab w:leader="none" w:pos="2100" w:val="left"/>
        </w:tabs>
        <w:numPr>
          <w:ilvl w:val="1"/>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Eligible Award Recipients</w:t>
      </w:r>
      <w:r>
        <w:rPr>
          <w:rFonts w:ascii="Times New Roman" w:cs="Times New Roman" w:eastAsia="Times New Roman" w:hAnsi="Times New Roman"/>
          <w:sz w:val="18"/>
          <w:szCs w:val="18"/>
          <w:color w:val="auto"/>
        </w:rPr>
        <w:t>. Subject to the terms of the Plan, Employees, Directors and Consultants are eligible to receive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Awards.</w:t>
      </w:r>
    </w:p>
    <w:p>
      <w:pPr>
        <w:spacing w:after="0" w:line="202" w:lineRule="exact"/>
        <w:rPr>
          <w:rFonts w:ascii="Times New Roman" w:cs="Times New Roman" w:eastAsia="Times New Roman" w:hAnsi="Times New Roman"/>
          <w:sz w:val="18"/>
          <w:szCs w:val="18"/>
          <w:b w:val="1"/>
          <w:bCs w:val="1"/>
          <w:color w:val="auto"/>
        </w:rPr>
      </w:pPr>
    </w:p>
    <w:p>
      <w:pPr>
        <w:ind w:left="1920" w:hanging="616"/>
        <w:spacing w:after="0"/>
        <w:tabs>
          <w:tab w:leader="none" w:pos="1920" w:val="left"/>
        </w:tabs>
        <w:numPr>
          <w:ilvl w:val="1"/>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1952"/>
        <w:spacing w:after="0" w:line="286" w:lineRule="auto"/>
        <w:tabs>
          <w:tab w:leader="none" w:pos="2484" w:val="left"/>
        </w:tabs>
        <w:numPr>
          <w:ilvl w:val="2"/>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Incentive Stock Option Recipients</w:t>
      </w:r>
      <w:r>
        <w:rPr>
          <w:rFonts w:ascii="Times New Roman" w:cs="Times New Roman" w:eastAsia="Times New Roman" w:hAnsi="Times New Roman"/>
          <w:sz w:val="18"/>
          <w:szCs w:val="18"/>
          <w:color w:val="auto"/>
        </w:rPr>
        <w:t>. Incentive Stock Options may be granted only to Employees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 “parent corporation” or “subsidiary corporation” thereof (as such terms are defined in Sections 424(e) and (f) of the Code).</w:t>
      </w:r>
    </w:p>
    <w:p>
      <w:pPr>
        <w:spacing w:after="0" w:line="154" w:lineRule="exact"/>
        <w:rPr>
          <w:rFonts w:ascii="Times New Roman" w:cs="Times New Roman" w:eastAsia="Times New Roman" w:hAnsi="Times New Roman"/>
          <w:sz w:val="18"/>
          <w:szCs w:val="18"/>
          <w:b w:val="1"/>
          <w:bCs w:val="1"/>
          <w:color w:val="auto"/>
        </w:rPr>
      </w:pPr>
    </w:p>
    <w:p>
      <w:pPr>
        <w:jc w:val="both"/>
        <w:ind w:firstLine="1952"/>
        <w:spacing w:after="0" w:line="257" w:lineRule="auto"/>
        <w:tabs>
          <w:tab w:leader="none" w:pos="2582" w:val="left"/>
        </w:tabs>
        <w:numPr>
          <w:ilvl w:val="2"/>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Stock Option $100,000 Limitation</w:t>
      </w:r>
      <w:r>
        <w:rPr>
          <w:rFonts w:ascii="Times New Roman" w:cs="Times New Roman" w:eastAsia="Times New Roman" w:hAnsi="Times New Roman"/>
          <w:sz w:val="18"/>
          <w:szCs w:val="18"/>
          <w:color w:val="auto"/>
        </w:rPr>
        <w:t>. To the extent that the aggregate Fair Market Value (determined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9" w:name="page180"/>
    <w:bookmarkEnd w:id="179"/>
    <w:p>
      <w:pPr>
        <w:jc w:val="both"/>
        <w:ind w:firstLine="1952"/>
        <w:spacing w:after="0" w:line="268" w:lineRule="auto"/>
        <w:tabs>
          <w:tab w:leader="none" w:pos="2573" w:val="left"/>
        </w:tabs>
        <w:numPr>
          <w:ilvl w:val="2"/>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Incentive Stock Options Granted to Ten Percent Stockholders</w:t>
      </w:r>
      <w:r>
        <w:rPr>
          <w:rFonts w:ascii="Times New Roman" w:cs="Times New Roman" w:eastAsia="Times New Roman" w:hAnsi="Times New Roman"/>
          <w:sz w:val="18"/>
          <w:szCs w:val="18"/>
          <w:color w:val="auto"/>
        </w:rPr>
        <w:t>. A Ten Percent Stockholder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170" w:lineRule="exact"/>
        <w:rPr>
          <w:rFonts w:ascii="Times New Roman" w:cs="Times New Roman" w:eastAsia="Times New Roman" w:hAnsi="Times New Roman"/>
          <w:sz w:val="18"/>
          <w:szCs w:val="18"/>
          <w:b w:val="1"/>
          <w:bCs w:val="1"/>
          <w:color w:val="auto"/>
        </w:rPr>
      </w:pPr>
    </w:p>
    <w:p>
      <w:pPr>
        <w:jc w:val="both"/>
        <w:ind w:firstLine="1952"/>
        <w:spacing w:after="0" w:line="262" w:lineRule="auto"/>
        <w:tabs>
          <w:tab w:leader="none" w:pos="2548" w:val="left"/>
        </w:tabs>
        <w:numPr>
          <w:ilvl w:val="2"/>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Nonstatutory Stock Options and SARs</w:t>
      </w:r>
      <w:r>
        <w:rPr>
          <w:rFonts w:ascii="Times New Roman" w:cs="Times New Roman" w:eastAsia="Times New Roman" w:hAnsi="Times New Roman"/>
          <w:sz w:val="18"/>
          <w:szCs w:val="18"/>
          <w:color w:val="auto"/>
        </w:rPr>
        <w:t>. Nonstatutory Stock Options and SARs may not be granted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76" w:lineRule="exact"/>
        <w:rPr>
          <w:rFonts w:ascii="Times New Roman" w:cs="Times New Roman" w:eastAsia="Times New Roman" w:hAnsi="Times New Roman"/>
          <w:sz w:val="18"/>
          <w:szCs w:val="18"/>
          <w:b w:val="1"/>
          <w:bCs w:val="1"/>
          <w:color w:val="auto"/>
        </w:rPr>
      </w:pPr>
    </w:p>
    <w:p>
      <w:pPr>
        <w:ind w:right="20" w:firstLine="1304"/>
        <w:spacing w:after="0" w:line="286" w:lineRule="auto"/>
        <w:tabs>
          <w:tab w:leader="none" w:pos="2003" w:val="left"/>
        </w:tabs>
        <w:numPr>
          <w:ilvl w:val="1"/>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Aggregate Incentive Stock Option Limit</w:t>
      </w:r>
      <w:r>
        <w:rPr>
          <w:rFonts w:ascii="Times New Roman" w:cs="Times New Roman" w:eastAsia="Times New Roman" w:hAnsi="Times New Roman"/>
          <w:sz w:val="18"/>
          <w:szCs w:val="18"/>
          <w:color w:val="auto"/>
        </w:rPr>
        <w:t>. The aggregate maximum number of shares of Common Stock that may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exercise of Incentive Stock Options is the number of shares specified in Section 2(b).</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1941" w:val="left"/>
        </w:tabs>
        <w:numPr>
          <w:ilvl w:val="1"/>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Non-Employee Director Compensation Limit</w:t>
      </w:r>
      <w:r>
        <w:rPr>
          <w:rFonts w:ascii="Times New Roman" w:cs="Times New Roman" w:eastAsia="Times New Roman" w:hAnsi="Times New Roman"/>
          <w:sz w:val="18"/>
          <w:szCs w:val="18"/>
          <w:color w:val="auto"/>
        </w:rPr>
        <w:t>. The aggregate value of all compensation granted or paid, as applicable, in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 following the Effective Date, to any individual for service as a Non-Employee Director with respect to any fiscal year, including Awards granted and cash fees paid by the Company to such Non-Employee Director for his or her service as a Non-Employee Director, will not exceed (i) $750,000 in total value or (ii) in the event such Non-Employee Director is first appointed or elected to the Board during such fiscal year, $1,000,000 in total value, in each case calculating the value of any equity awards based on the grant date fair value of such equity awards for financial reporting purposes.</w:t>
      </w:r>
    </w:p>
    <w:p>
      <w:pPr>
        <w:spacing w:after="0" w:line="179" w:lineRule="exact"/>
        <w:rPr>
          <w:rFonts w:ascii="Times New Roman" w:cs="Times New Roman" w:eastAsia="Times New Roman" w:hAnsi="Times New Roman"/>
          <w:sz w:val="18"/>
          <w:szCs w:val="18"/>
          <w:b w:val="1"/>
          <w:bCs w:val="1"/>
          <w:color w:val="auto"/>
        </w:rPr>
      </w:pPr>
    </w:p>
    <w:p>
      <w:pPr>
        <w:ind w:left="1340" w:hanging="684"/>
        <w:spacing w:after="0"/>
        <w:tabs>
          <w:tab w:leader="none" w:pos="134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 and Stock Appreciation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0" w:name="page181"/>
    <w:bookmarkEnd w:id="180"/>
    <w:p>
      <w:pPr>
        <w:ind w:right="20" w:firstLine="1304"/>
        <w:spacing w:after="0" w:line="286" w:lineRule="auto"/>
        <w:tabs>
          <w:tab w:leader="none" w:pos="1948"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Subject to Section 3(b) regarding Ten Percent Stockholders, no Option or SAR will be exercisable after the expiration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 years from the date of grant of such Award or such shorter period specified in the Award Agreement.</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1921"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or Strike Price</w:t>
      </w:r>
      <w:r>
        <w:rPr>
          <w:rFonts w:ascii="Times New Roman" w:cs="Times New Roman" w:eastAsia="Times New Roman" w:hAnsi="Times New Roman"/>
          <w:sz w:val="18"/>
          <w:szCs w:val="18"/>
          <w:color w:val="auto"/>
        </w:rPr>
        <w:t>. Subject to Section 3(b) regarding Ten Percent Stockholders, the exercise or strike price of each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951"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Procedure and Payment of Exercise Price for Options</w:t>
      </w:r>
      <w:r>
        <w:rPr>
          <w:rFonts w:ascii="Times New Roman" w:cs="Times New Roman" w:eastAsia="Times New Roman" w:hAnsi="Times New Roman"/>
          <w:sz w:val="18"/>
          <w:szCs w:val="18"/>
          <w:color w:val="auto"/>
        </w:rPr>
        <w:t>. In order to exercise an Option, the Participant must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6" w:lineRule="exact"/>
        <w:rPr>
          <w:rFonts w:ascii="Times New Roman" w:cs="Times New Roman" w:eastAsia="Times New Roman" w:hAnsi="Times New Roman"/>
          <w:sz w:val="18"/>
          <w:szCs w:val="18"/>
          <w:b w:val="1"/>
          <w:bCs w:val="1"/>
          <w:color w:val="auto"/>
        </w:rPr>
      </w:pPr>
    </w:p>
    <w:p>
      <w:pPr>
        <w:ind w:left="2440" w:hanging="488"/>
        <w:spacing w:after="0"/>
        <w:tabs>
          <w:tab w:leader="none" w:pos="2440" w:val="left"/>
        </w:tabs>
        <w:numPr>
          <w:ilvl w:val="1"/>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560" w:val="left"/>
        </w:tabs>
        <w:numPr>
          <w:ilvl w:val="1"/>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55" w:lineRule="auto"/>
        <w:tabs>
          <w:tab w:leader="none" w:pos="2542" w:val="left"/>
        </w:tabs>
        <w:numPr>
          <w:ilvl w:val="1"/>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8"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640" w:val="left"/>
        </w:tabs>
        <w:numPr>
          <w:ilvl w:val="1"/>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1" w:name="page182"/>
    <w:bookmarkEnd w:id="181"/>
    <w:p>
      <w:pPr>
        <w:ind w:left="2480" w:hanging="528"/>
        <w:spacing w:after="0"/>
        <w:tabs>
          <w:tab w:leader="none" w:pos="2480" w:val="left"/>
        </w:tabs>
        <w:numPr>
          <w:ilvl w:val="1"/>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221"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944"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Procedure and Payment of Appreciation Distribution for SARs</w:t>
      </w:r>
      <w:r>
        <w:rPr>
          <w:rFonts w:ascii="Times New Roman" w:cs="Times New Roman" w:eastAsia="Times New Roman" w:hAnsi="Times New Roman"/>
          <w:sz w:val="18"/>
          <w:szCs w:val="18"/>
          <w:color w:val="auto"/>
        </w:rPr>
        <w:t>. In order to exercise any SAR, the Participant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1924"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Options and SARs may not be transferred to third-party financial institutions for value. The Board may impose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provided, further, that if an Option is an Incentive Stock Option, such Option may be deemed to be a Nonstatutory Stock Option as a result of such transfer:</w:t>
      </w:r>
    </w:p>
    <w:p>
      <w:pPr>
        <w:spacing w:after="0" w:line="179" w:lineRule="exact"/>
        <w:rPr>
          <w:rFonts w:ascii="Times New Roman" w:cs="Times New Roman" w:eastAsia="Times New Roman" w:hAnsi="Times New Roman"/>
          <w:sz w:val="18"/>
          <w:szCs w:val="18"/>
          <w:b w:val="1"/>
          <w:bCs w:val="1"/>
          <w:color w:val="auto"/>
        </w:rPr>
      </w:pPr>
    </w:p>
    <w:p>
      <w:pPr>
        <w:jc w:val="both"/>
        <w:ind w:firstLine="1952"/>
        <w:spacing w:after="0" w:line="259" w:lineRule="auto"/>
        <w:tabs>
          <w:tab w:leader="none" w:pos="2565" w:val="left"/>
        </w:tabs>
        <w:numPr>
          <w:ilvl w:val="1"/>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w:t>
      </w:r>
      <w:r>
        <w:rPr>
          <w:rFonts w:ascii="Times New Roman" w:cs="Times New Roman" w:eastAsia="Times New Roman" w:hAnsi="Times New Roman"/>
          <w:sz w:val="18"/>
          <w:szCs w:val="18"/>
          <w:color w:val="auto"/>
        </w:rPr>
        <w:t>. An Option or SAR will not be transferable, except by will or by the laws of descent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U.S. state law) while such Option or SAR is held in such trust, provided that the Participant and the trustee enter into a transfer and other agreements required by the Company.</w:t>
      </w:r>
    </w:p>
    <w:p>
      <w:pPr>
        <w:spacing w:after="0" w:line="179" w:lineRule="exact"/>
        <w:rPr>
          <w:sz w:val="20"/>
          <w:szCs w:val="20"/>
          <w:color w:val="auto"/>
        </w:rPr>
      </w:pPr>
    </w:p>
    <w:p>
      <w:pPr>
        <w:jc w:val="both"/>
        <w:ind w:firstLine="1952"/>
        <w:spacing w:after="0" w:line="268" w:lineRule="auto"/>
        <w:tabs>
          <w:tab w:leader="none" w:pos="2605" w:val="left"/>
        </w:tabs>
        <w:numPr>
          <w:ilvl w:val="1"/>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Domestic Relations Orders</w:t>
      </w:r>
      <w:r>
        <w:rPr>
          <w:rFonts w:ascii="Times New Roman" w:cs="Times New Roman" w:eastAsia="Times New Roman" w:hAnsi="Times New Roman"/>
          <w:sz w:val="18"/>
          <w:szCs w:val="18"/>
          <w:color w:val="auto"/>
        </w:rPr>
        <w:t>. Notwithstanding the foregoing, subject to the execution of transfer documentation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format acceptable to the Company and subject to the approval of the Board or a duly authorized Officer, an Option or SAR may be transferred pursuant to a domestic relations order.</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2003"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The Board may impose such restrictions on or conditions to the vesting and/or exercisability of an Option or SAR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applicable Award Agreement or other written agreement between a Participant and the Company, vesting of Options and SARs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2081"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Continuous Service for Cause</w:t>
      </w:r>
      <w:r>
        <w:rPr>
          <w:rFonts w:ascii="Times New Roman" w:cs="Times New Roman" w:eastAsia="Times New Roman" w:hAnsi="Times New Roman"/>
          <w:sz w:val="18"/>
          <w:szCs w:val="18"/>
          <w:color w:val="auto"/>
        </w:rPr>
        <w:t>. Except as explicitly otherwise provided in the Award Agreement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agreement between a Participant and the Company,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2" w:name="page183"/>
    <w:bookmarkEnd w:id="182"/>
    <w:p>
      <w:pPr>
        <w:jc w:val="both"/>
        <w:ind w:firstLine="1304"/>
        <w:spacing w:after="0" w:line="259" w:lineRule="auto"/>
        <w:tabs>
          <w:tab w:leader="none" w:pos="1921"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Post-Termination Exercise Period Following Termination of Continuous Service for Reasons Other than Cause</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provided, however, that in no event may such Award be exercised after the expiration of its maximum term (as set forth in Section 4(a)):</w:t>
      </w:r>
    </w:p>
    <w:p>
      <w:pPr>
        <w:spacing w:after="0" w:line="183"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496" w:val="left"/>
        </w:tabs>
        <w:numPr>
          <w:ilvl w:val="1"/>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61" w:lineRule="exact"/>
        <w:rPr>
          <w:rFonts w:ascii="Times New Roman" w:cs="Times New Roman" w:eastAsia="Times New Roman" w:hAnsi="Times New Roman"/>
          <w:sz w:val="18"/>
          <w:szCs w:val="18"/>
          <w:b w:val="1"/>
          <w:bCs w:val="1"/>
          <w:color w:val="auto"/>
        </w:rPr>
      </w:pPr>
    </w:p>
    <w:p>
      <w:pPr>
        <w:ind w:left="2440" w:hanging="488"/>
        <w:spacing w:after="0"/>
        <w:tabs>
          <w:tab w:leader="none" w:pos="2440" w:val="left"/>
        </w:tabs>
        <w:numPr>
          <w:ilvl w:val="1"/>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25" w:lineRule="exact"/>
        <w:rPr>
          <w:rFonts w:ascii="Times New Roman" w:cs="Times New Roman" w:eastAsia="Times New Roman" w:hAnsi="Times New Roman"/>
          <w:sz w:val="18"/>
          <w:szCs w:val="18"/>
          <w:b w:val="1"/>
          <w:bCs w:val="1"/>
          <w:color w:val="auto"/>
        </w:rPr>
      </w:pPr>
    </w:p>
    <w:p>
      <w:pPr>
        <w:ind w:left="2440" w:hanging="488"/>
        <w:spacing w:after="0"/>
        <w:tabs>
          <w:tab w:leader="none" w:pos="2440" w:val="left"/>
        </w:tabs>
        <w:numPr>
          <w:ilvl w:val="1"/>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25" w:lineRule="exact"/>
        <w:rPr>
          <w:rFonts w:ascii="Times New Roman" w:cs="Times New Roman" w:eastAsia="Times New Roman" w:hAnsi="Times New Roman"/>
          <w:sz w:val="18"/>
          <w:szCs w:val="18"/>
          <w:b w:val="1"/>
          <w:bCs w:val="1"/>
          <w:color w:val="auto"/>
        </w:rPr>
      </w:pPr>
    </w:p>
    <w:p>
      <w:pPr>
        <w:ind w:right="20" w:firstLine="1952"/>
        <w:spacing w:after="0" w:line="282" w:lineRule="auto"/>
        <w:tabs>
          <w:tab w:leader="none" w:pos="2573" w:val="left"/>
        </w:tabs>
        <w:numPr>
          <w:ilvl w:val="1"/>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terminated Award, the shares of Common Stock subject to the terminated Award, or any consideration in respect of the terminated Award.</w:t>
      </w:r>
    </w:p>
    <w:p>
      <w:pPr>
        <w:spacing w:after="0" w:line="176" w:lineRule="exact"/>
        <w:rPr>
          <w:sz w:val="20"/>
          <w:szCs w:val="20"/>
          <w:color w:val="auto"/>
        </w:rPr>
      </w:pPr>
    </w:p>
    <w:p>
      <w:pPr>
        <w:jc w:val="both"/>
        <w:ind w:firstLine="1304"/>
        <w:spacing w:after="0" w:line="254" w:lineRule="auto"/>
        <w:tabs>
          <w:tab w:leader="none" w:pos="1957"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Exercise; Extension of Exercisability</w:t>
      </w:r>
      <w:r>
        <w:rPr>
          <w:rFonts w:ascii="Times New Roman" w:cs="Times New Roman" w:eastAsia="Times New Roman" w:hAnsi="Times New Roman"/>
          <w:sz w:val="18"/>
          <w:szCs w:val="18"/>
          <w:color w:val="auto"/>
        </w:rPr>
        <w:t>. A Participant may not exercise an Option or SAR at any time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shares of Common Stock upon such exercise would violate Applicable Law. Except as otherwise provided in the Award Agreement or other written agreement between a Participant and the Company,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3" w:name="page184"/>
    <w:bookmarkEnd w:id="183"/>
    <w:p>
      <w:pPr>
        <w:jc w:val="both"/>
        <w:ind w:firstLine="1304"/>
        <w:spacing w:after="0" w:line="255" w:lineRule="auto"/>
        <w:tabs>
          <w:tab w:leader="none" w:pos="1893" w:val="left"/>
        </w:tabs>
        <w:numPr>
          <w:ilvl w:val="1"/>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Employees</w:t>
      </w:r>
      <w:r>
        <w:rPr>
          <w:rFonts w:ascii="Times New Roman" w:cs="Times New Roman" w:eastAsia="Times New Roman" w:hAnsi="Times New Roman"/>
          <w:sz w:val="18"/>
          <w:szCs w:val="18"/>
          <w:color w:val="auto"/>
        </w:rPr>
        <w:t>. No Option or SAR, whether or not vested, granted to an Employee who is a non-exempt employee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84" w:lineRule="exact"/>
        <w:rPr>
          <w:rFonts w:ascii="Times New Roman" w:cs="Times New Roman" w:eastAsia="Times New Roman" w:hAnsi="Times New Roman"/>
          <w:sz w:val="18"/>
          <w:szCs w:val="18"/>
          <w:b w:val="1"/>
          <w:bCs w:val="1"/>
          <w:color w:val="auto"/>
        </w:rPr>
      </w:pPr>
    </w:p>
    <w:p>
      <w:pPr>
        <w:ind w:left="1920" w:hanging="616"/>
        <w:spacing w:after="0"/>
        <w:tabs>
          <w:tab w:leader="none" w:pos="1920" w:val="left"/>
        </w:tabs>
        <w:numPr>
          <w:ilvl w:val="1"/>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Whole Shares</w:t>
      </w:r>
      <w:r>
        <w:rPr>
          <w:rFonts w:ascii="Times New Roman" w:cs="Times New Roman" w:eastAsia="Times New Roman" w:hAnsi="Times New Roman"/>
          <w:sz w:val="18"/>
          <w:szCs w:val="18"/>
          <w:color w:val="auto"/>
        </w:rPr>
        <w:t>. Options and SARs may be exercised only with respect to whole shares of Common Stock or their equivalents.</w:t>
      </w:r>
    </w:p>
    <w:p>
      <w:pPr>
        <w:spacing w:after="0" w:line="225" w:lineRule="exact"/>
        <w:rPr>
          <w:rFonts w:ascii="Times New Roman" w:cs="Times New Roman" w:eastAsia="Times New Roman" w:hAnsi="Times New Roman"/>
          <w:sz w:val="18"/>
          <w:szCs w:val="18"/>
          <w:b w:val="1"/>
          <w:bCs w:val="1"/>
          <w:color w:val="auto"/>
        </w:rPr>
      </w:pPr>
    </w:p>
    <w:p>
      <w:pPr>
        <w:ind w:left="1100" w:hanging="444"/>
        <w:spacing w:after="0"/>
        <w:tabs>
          <w:tab w:leader="none" w:pos="110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 Other Than Options and Stock Appreciation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11" w:val="left"/>
        </w:tabs>
        <w:numPr>
          <w:ilvl w:val="1"/>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Awards and RSU Awards</w:t>
      </w:r>
      <w:r>
        <w:rPr>
          <w:rFonts w:ascii="Times New Roman" w:cs="Times New Roman" w:eastAsia="Times New Roman" w:hAnsi="Times New Roman"/>
          <w:sz w:val="18"/>
          <w:szCs w:val="18"/>
          <w:color w:val="auto"/>
        </w:rPr>
        <w:t>. Each Restricted Stock Award and RSU Award will have such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70" w:lineRule="exact"/>
        <w:rPr>
          <w:rFonts w:ascii="Times New Roman" w:cs="Times New Roman" w:eastAsia="Times New Roman" w:hAnsi="Times New Roman"/>
          <w:sz w:val="18"/>
          <w:szCs w:val="18"/>
          <w:b w:val="1"/>
          <w:bCs w:val="1"/>
          <w:color w:val="auto"/>
        </w:rPr>
      </w:pPr>
    </w:p>
    <w:p>
      <w:pPr>
        <w:ind w:left="2620" w:hanging="668"/>
        <w:spacing w:after="0"/>
        <w:tabs>
          <w:tab w:leader="none" w:pos="2620" w:val="left"/>
        </w:tabs>
        <w:numPr>
          <w:ilvl w:val="2"/>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2600"/>
        <w:spacing w:after="0" w:line="258" w:lineRule="auto"/>
        <w:tabs>
          <w:tab w:leader="none" w:pos="3171" w:val="left"/>
        </w:tabs>
        <w:numPr>
          <w:ilvl w:val="3"/>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83" w:lineRule="exact"/>
        <w:rPr>
          <w:rFonts w:ascii="Times New Roman" w:cs="Times New Roman" w:eastAsia="Times New Roman" w:hAnsi="Times New Roman"/>
          <w:sz w:val="18"/>
          <w:szCs w:val="18"/>
          <w:b w:val="1"/>
          <w:bCs w:val="1"/>
          <w:color w:val="auto"/>
        </w:rPr>
      </w:pPr>
    </w:p>
    <w:p>
      <w:pPr>
        <w:jc w:val="both"/>
        <w:ind w:firstLine="2600"/>
        <w:spacing w:after="0" w:line="256" w:lineRule="auto"/>
        <w:tabs>
          <w:tab w:leader="none" w:pos="3252" w:val="left"/>
        </w:tabs>
        <w:numPr>
          <w:ilvl w:val="3"/>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4" w:name="page185"/>
    <w:bookmarkEnd w:id="184"/>
    <w:p>
      <w:pPr>
        <w:ind w:left="2580" w:hanging="628"/>
        <w:spacing w:after="0"/>
        <w:tabs>
          <w:tab w:leader="none" w:pos="258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2600"/>
        <w:spacing w:after="0" w:line="266" w:lineRule="auto"/>
        <w:tabs>
          <w:tab w:leader="none" w:pos="3198" w:val="left"/>
        </w:tabs>
        <w:numPr>
          <w:ilvl w:val="1"/>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 A Restricted Stock Award may be granted in consideration for (A) cash or check, bank draft or money order payable to the Company, (B) past services to the Company or an Affiliate, or (C) any other form of consideration as the Board may determine and permissible under Applicable Law.</w:t>
      </w:r>
    </w:p>
    <w:p>
      <w:pPr>
        <w:spacing w:after="0" w:line="175" w:lineRule="exact"/>
        <w:rPr>
          <w:rFonts w:ascii="Times New Roman" w:cs="Times New Roman" w:eastAsia="Times New Roman" w:hAnsi="Times New Roman"/>
          <w:sz w:val="18"/>
          <w:szCs w:val="18"/>
          <w:b w:val="1"/>
          <w:bCs w:val="1"/>
          <w:color w:val="auto"/>
        </w:rPr>
      </w:pPr>
    </w:p>
    <w:p>
      <w:pPr>
        <w:jc w:val="both"/>
        <w:ind w:firstLine="2600"/>
        <w:spacing w:after="0" w:line="256" w:lineRule="auto"/>
        <w:tabs>
          <w:tab w:leader="none" w:pos="3333" w:val="left"/>
        </w:tabs>
        <w:numPr>
          <w:ilvl w:val="1"/>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3" w:lineRule="exact"/>
        <w:rPr>
          <w:rFonts w:ascii="Times New Roman" w:cs="Times New Roman" w:eastAsia="Times New Roman" w:hAnsi="Times New Roman"/>
          <w:sz w:val="18"/>
          <w:szCs w:val="18"/>
          <w:b w:val="1"/>
          <w:bCs w:val="1"/>
          <w:color w:val="auto"/>
        </w:rPr>
      </w:pPr>
    </w:p>
    <w:p>
      <w:pPr>
        <w:jc w:val="both"/>
        <w:ind w:firstLine="1952"/>
        <w:spacing w:after="0" w:line="268" w:lineRule="auto"/>
        <w:tabs>
          <w:tab w:leader="none" w:pos="2593"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The Board may impose such restrictions on or conditions to the vesting of a Restricted Stock Award or RSU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jc w:val="both"/>
        <w:ind w:firstLine="1952"/>
        <w:spacing w:after="0" w:line="257" w:lineRule="auto"/>
        <w:tabs>
          <w:tab w:leader="none" w:pos="2525"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Continuous Service</w:t>
      </w:r>
      <w:r>
        <w:rPr>
          <w:rFonts w:ascii="Times New Roman" w:cs="Times New Roman" w:eastAsia="Times New Roman" w:hAnsi="Times New Roman"/>
          <w:sz w:val="18"/>
          <w:szCs w:val="18"/>
          <w:color w:val="auto"/>
        </w:rPr>
        <w:t>. Except as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82" w:lineRule="exact"/>
        <w:rPr>
          <w:rFonts w:ascii="Times New Roman" w:cs="Times New Roman" w:eastAsia="Times New Roman" w:hAnsi="Times New Roman"/>
          <w:sz w:val="18"/>
          <w:szCs w:val="18"/>
          <w:b w:val="1"/>
          <w:bCs w:val="1"/>
          <w:color w:val="auto"/>
        </w:rPr>
      </w:pPr>
    </w:p>
    <w:p>
      <w:pPr>
        <w:jc w:val="both"/>
        <w:ind w:firstLine="1952"/>
        <w:spacing w:after="0" w:line="268" w:lineRule="auto"/>
        <w:tabs>
          <w:tab w:leader="none" w:pos="2535"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Dividend Equivalents</w:t>
      </w:r>
      <w:r>
        <w:rPr>
          <w:rFonts w:ascii="Times New Roman" w:cs="Times New Roman" w:eastAsia="Times New Roman" w:hAnsi="Times New Roman"/>
          <w:sz w:val="18"/>
          <w:szCs w:val="18"/>
          <w:color w:val="auto"/>
        </w:rPr>
        <w:t>. Dividends or dividend equivalents may be paid or credited, as applicable,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shares of Common Stock subject to a Restricted Stock Award or RSU Award, as determined by the Board and specified in the Award Agreement).</w:t>
      </w:r>
    </w:p>
    <w:p>
      <w:pPr>
        <w:spacing w:after="0" w:line="170" w:lineRule="exact"/>
        <w:rPr>
          <w:rFonts w:ascii="Times New Roman" w:cs="Times New Roman" w:eastAsia="Times New Roman" w:hAnsi="Times New Roman"/>
          <w:sz w:val="18"/>
          <w:szCs w:val="18"/>
          <w:b w:val="1"/>
          <w:bCs w:val="1"/>
          <w:color w:val="auto"/>
        </w:rPr>
      </w:pPr>
    </w:p>
    <w:p>
      <w:pPr>
        <w:jc w:val="both"/>
        <w:ind w:firstLine="1952"/>
        <w:spacing w:after="0" w:line="268" w:lineRule="auto"/>
        <w:tabs>
          <w:tab w:leader="none" w:pos="2547"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 RSU Award may be settled by the issuance of shares of Common Stock or cash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5" w:name="page186"/>
    <w:bookmarkEnd w:id="185"/>
    <w:p>
      <w:pPr>
        <w:jc w:val="both"/>
        <w:ind w:firstLine="1304"/>
        <w:spacing w:after="0" w:line="262" w:lineRule="auto"/>
        <w:tabs>
          <w:tab w:leader="none" w:pos="2103" w:val="left"/>
        </w:tabs>
        <w:numPr>
          <w:ilvl w:val="1"/>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Awards may be granted either alone or in addition to Awards provided for under Section 4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76" w:lineRule="exact"/>
        <w:rPr>
          <w:rFonts w:ascii="Times New Roman" w:cs="Times New Roman" w:eastAsia="Times New Roman" w:hAnsi="Times New Roman"/>
          <w:sz w:val="18"/>
          <w:szCs w:val="18"/>
          <w:b w:val="1"/>
          <w:bCs w:val="1"/>
          <w:color w:val="auto"/>
        </w:rPr>
      </w:pPr>
    </w:p>
    <w:p>
      <w:pPr>
        <w:ind w:left="1280" w:hanging="624"/>
        <w:spacing w:after="0"/>
        <w:tabs>
          <w:tab w:leader="none" w:pos="128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Upon Changes in Common Stock; Other Corporate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2060" w:hanging="756"/>
        <w:spacing w:after="0"/>
        <w:tabs>
          <w:tab w:leader="none" w:pos="2060" w:val="left"/>
        </w:tabs>
        <w:numPr>
          <w:ilvl w:val="1"/>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w:t>
      </w:r>
    </w:p>
    <w:p>
      <w:pPr>
        <w:spacing w:after="0" w:line="31" w:lineRule="exact"/>
        <w:rPr>
          <w:rFonts w:ascii="Times New Roman" w:cs="Times New Roman" w:eastAsia="Times New Roman" w:hAnsi="Times New Roman"/>
          <w:sz w:val="18"/>
          <w:szCs w:val="18"/>
          <w:b w:val="1"/>
          <w:bCs w:val="1"/>
          <w:color w:val="auto"/>
        </w:rPr>
      </w:pPr>
    </w:p>
    <w:p>
      <w:pPr>
        <w:jc w:val="both"/>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84"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841" w:val="left"/>
        </w:tabs>
        <w:numPr>
          <w:ilvl w:val="1"/>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Award Agreement, in the event of a dissolution or liquidation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jc w:val="both"/>
        <w:ind w:right="20" w:firstLine="1304"/>
        <w:spacing w:after="0" w:line="268" w:lineRule="auto"/>
        <w:tabs>
          <w:tab w:leader="none" w:pos="1998" w:val="left"/>
        </w:tabs>
        <w:numPr>
          <w:ilvl w:val="1"/>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The following provisions will apply to Awards in the event of a Corporate Transaction except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Section 11, and unless otherwise provided in the instrument evidencing the Award or any other written agreement between the Company or any Affiliate and the Participant or unless otherwise expressly provided by the Board at the time of grant of an Award.</w:t>
      </w:r>
    </w:p>
    <w:p>
      <w:pPr>
        <w:spacing w:after="0" w:line="170" w:lineRule="exact"/>
        <w:rPr>
          <w:rFonts w:ascii="Times New Roman" w:cs="Times New Roman" w:eastAsia="Times New Roman" w:hAnsi="Times New Roman"/>
          <w:sz w:val="18"/>
          <w:szCs w:val="18"/>
          <w:b w:val="1"/>
          <w:bCs w:val="1"/>
          <w:color w:val="auto"/>
        </w:rPr>
      </w:pPr>
    </w:p>
    <w:p>
      <w:pPr>
        <w:jc w:val="both"/>
        <w:ind w:firstLine="1952"/>
        <w:spacing w:after="0" w:line="255" w:lineRule="auto"/>
        <w:tabs>
          <w:tab w:leader="none" w:pos="2475" w:val="left"/>
        </w:tabs>
        <w:numPr>
          <w:ilvl w:val="2"/>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 May Be Assumed</w:t>
      </w:r>
      <w:r>
        <w:rPr>
          <w:rFonts w:ascii="Times New Roman" w:cs="Times New Roman" w:eastAsia="Times New Roman" w:hAnsi="Times New Roman"/>
          <w:sz w:val="18"/>
          <w:szCs w:val="18"/>
          <w:color w:val="auto"/>
        </w:rPr>
        <w:t>. In the event of a Corporate Transaction, any surviving corporation or acquiring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6" w:name="page187"/>
    <w:bookmarkEnd w:id="186"/>
    <w:p>
      <w:pPr>
        <w:jc w:val="both"/>
        <w:ind w:firstLine="1952"/>
        <w:spacing w:after="0" w:line="253" w:lineRule="auto"/>
        <w:tabs>
          <w:tab w:leader="none" w:pos="2529"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 Held by Current Participants</w:t>
      </w:r>
      <w:r>
        <w:rPr>
          <w:rFonts w:ascii="Times New Roman" w:cs="Times New Roman" w:eastAsia="Times New Roman" w:hAnsi="Times New Roman"/>
          <w:sz w:val="18"/>
          <w:szCs w:val="18"/>
          <w:color w:val="auto"/>
        </w:rPr>
        <w:t>. In the event of a Corporate Transaction in which the surviving 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Awards with performance-based vesting that will accelerate upon the occurrence of a Corporate Transaction pursuant to this subsection (ii) and that have multiple vesting levels depending on the level of performance, unless otherwise provided in the Award Agreement, the vesting of such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185" w:lineRule="exact"/>
        <w:rPr>
          <w:rFonts w:ascii="Times New Roman" w:cs="Times New Roman" w:eastAsia="Times New Roman" w:hAnsi="Times New Roman"/>
          <w:sz w:val="18"/>
          <w:szCs w:val="18"/>
          <w:b w:val="1"/>
          <w:bCs w:val="1"/>
          <w:color w:val="auto"/>
        </w:rPr>
      </w:pPr>
    </w:p>
    <w:p>
      <w:pPr>
        <w:jc w:val="both"/>
        <w:ind w:firstLine="1952"/>
        <w:spacing w:after="0" w:line="257" w:lineRule="auto"/>
        <w:tabs>
          <w:tab w:leader="none" w:pos="2654"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 Held by Persons other than Current Participants</w:t>
      </w:r>
      <w:r>
        <w:rPr>
          <w:rFonts w:ascii="Times New Roman" w:cs="Times New Roman" w:eastAsia="Times New Roman" w:hAnsi="Times New Roman"/>
          <w:sz w:val="18"/>
          <w:szCs w:val="18"/>
          <w:color w:val="auto"/>
        </w:rPr>
        <w:t>. In the event of a Corporate Transaction in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2" w:lineRule="exact"/>
        <w:rPr>
          <w:rFonts w:ascii="Times New Roman" w:cs="Times New Roman" w:eastAsia="Times New Roman" w:hAnsi="Times New Roman"/>
          <w:sz w:val="18"/>
          <w:szCs w:val="18"/>
          <w:b w:val="1"/>
          <w:bCs w:val="1"/>
          <w:color w:val="auto"/>
        </w:rPr>
      </w:pPr>
    </w:p>
    <w:p>
      <w:pPr>
        <w:jc w:val="both"/>
        <w:ind w:firstLine="1952"/>
        <w:spacing w:after="0" w:line="259" w:lineRule="auto"/>
        <w:tabs>
          <w:tab w:leader="none" w:pos="2577"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for Awards in Lieu of Exercise</w:t>
      </w:r>
      <w:r>
        <w:rPr>
          <w:rFonts w:ascii="Times New Roman" w:cs="Times New Roman" w:eastAsia="Times New Roman" w:hAnsi="Times New Roman"/>
          <w:sz w:val="18"/>
          <w:szCs w:val="18"/>
          <w:color w:val="auto"/>
        </w:rPr>
        <w:t>. Notwithstanding the foregoing, in the event an Award will terminate if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7" w:name="page188"/>
    <w:bookmarkEnd w:id="187"/>
    <w:p>
      <w:pPr>
        <w:jc w:val="both"/>
        <w:ind w:firstLine="1304"/>
        <w:spacing w:after="0" w:line="262" w:lineRule="auto"/>
        <w:tabs>
          <w:tab w:leader="none" w:pos="1982" w:val="left"/>
        </w:tabs>
        <w:numPr>
          <w:ilvl w:val="2"/>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Stockholder Representative</w:t>
      </w:r>
      <w:r>
        <w:rPr>
          <w:rFonts w:ascii="Times New Roman" w:cs="Times New Roman" w:eastAsia="Times New Roman" w:hAnsi="Times New Roman"/>
          <w:sz w:val="18"/>
          <w:szCs w:val="18"/>
          <w:color w:val="auto"/>
        </w:rPr>
        <w:t>. As a condition to the receipt of an Award under this Plan, a Participant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6"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2095" w:val="left"/>
        </w:tabs>
        <w:numPr>
          <w:ilvl w:val="2"/>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Restriction on Right to Undertake Transactions</w:t>
      </w:r>
      <w:r>
        <w:rPr>
          <w:rFonts w:ascii="Times New Roman" w:cs="Times New Roman" w:eastAsia="Times New Roman" w:hAnsi="Times New Roman"/>
          <w:sz w:val="18"/>
          <w:szCs w:val="18"/>
          <w:color w:val="auto"/>
        </w:rPr>
        <w:t>. The grant of any Award under the Plan and the 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82" w:lineRule="exact"/>
        <w:rPr>
          <w:rFonts w:ascii="Times New Roman" w:cs="Times New Roman" w:eastAsia="Times New Roman" w:hAnsi="Times New Roman"/>
          <w:sz w:val="18"/>
          <w:szCs w:val="18"/>
          <w:b w:val="1"/>
          <w:bCs w:val="1"/>
          <w:color w:val="auto"/>
        </w:rPr>
      </w:pPr>
    </w:p>
    <w:p>
      <w:pPr>
        <w:ind w:left="1340" w:hanging="684"/>
        <w:spacing w:after="0"/>
        <w:tabs>
          <w:tab w:leader="none" w:pos="1340" w:val="left"/>
        </w:tabs>
        <w:numPr>
          <w:ilvl w:val="1"/>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912" w:val="left"/>
        </w:tabs>
        <w:numPr>
          <w:ilvl w:val="2"/>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by Board</w:t>
      </w:r>
      <w:r>
        <w:rPr>
          <w:rFonts w:ascii="Times New Roman" w:cs="Times New Roman" w:eastAsia="Times New Roman" w:hAnsi="Times New Roman"/>
          <w:sz w:val="18"/>
          <w:szCs w:val="18"/>
          <w:color w:val="auto"/>
        </w:rPr>
        <w:t>. The Board will administer the Plan unless and until the Board delegates administration of the Plan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Committee or Committees, as provided in subsection (c) below.</w:t>
      </w:r>
    </w:p>
    <w:p>
      <w:pPr>
        <w:spacing w:after="0" w:line="154" w:lineRule="exact"/>
        <w:rPr>
          <w:rFonts w:ascii="Times New Roman" w:cs="Times New Roman" w:eastAsia="Times New Roman" w:hAnsi="Times New Roman"/>
          <w:sz w:val="18"/>
          <w:szCs w:val="18"/>
          <w:b w:val="1"/>
          <w:bCs w:val="1"/>
          <w:color w:val="auto"/>
        </w:rPr>
      </w:pPr>
    </w:p>
    <w:p>
      <w:pPr>
        <w:ind w:left="1920" w:hanging="616"/>
        <w:spacing w:after="0"/>
        <w:tabs>
          <w:tab w:leader="none" w:pos="1920" w:val="left"/>
        </w:tabs>
        <w:numPr>
          <w:ilvl w:val="2"/>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Board</w:t>
      </w:r>
      <w:r>
        <w:rPr>
          <w:rFonts w:ascii="Times New Roman" w:cs="Times New Roman" w:eastAsia="Times New Roman" w:hAnsi="Times New Roman"/>
          <w:sz w:val="18"/>
          <w:szCs w:val="18"/>
          <w:color w:val="auto"/>
        </w:rPr>
        <w:t>. The Board will have the power, subject to, and within the limitations of, the express provisions of the Plan:</w:t>
      </w:r>
    </w:p>
    <w:p>
      <w:pPr>
        <w:spacing w:after="0" w:line="229" w:lineRule="exact"/>
        <w:rPr>
          <w:rFonts w:ascii="Times New Roman" w:cs="Times New Roman" w:eastAsia="Times New Roman" w:hAnsi="Times New Roman"/>
          <w:sz w:val="18"/>
          <w:szCs w:val="18"/>
          <w:b w:val="1"/>
          <w:bCs w:val="1"/>
          <w:color w:val="auto"/>
        </w:rPr>
      </w:pPr>
    </w:p>
    <w:p>
      <w:pPr>
        <w:jc w:val="both"/>
        <w:ind w:firstLine="1952"/>
        <w:spacing w:after="0" w:line="272" w:lineRule="auto"/>
        <w:tabs>
          <w:tab w:leader="none" w:pos="2496" w:val="left"/>
        </w:tabs>
        <w:numPr>
          <w:ilvl w:val="3"/>
          <w:numId w:val="2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w:t>
      </w:r>
    </w:p>
    <w:p>
      <w:pPr>
        <w:spacing w:after="0" w:line="1" w:lineRule="exact"/>
        <w:rPr>
          <w:rFonts w:ascii="Times New Roman" w:cs="Times New Roman" w:eastAsia="Times New Roman" w:hAnsi="Times New Roman"/>
          <w:sz w:val="17"/>
          <w:szCs w:val="17"/>
          <w:b w:val="1"/>
          <w:bCs w:val="1"/>
          <w:color w:val="auto"/>
        </w:rPr>
      </w:pPr>
    </w:p>
    <w:p>
      <w:pPr>
        <w:ind w:firstLine="8"/>
        <w:spacing w:after="0" w:line="260" w:lineRule="auto"/>
        <w:tabs>
          <w:tab w:leader="none" w:pos="25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cash equivalent with respect to which an Award will be granted to each such person; and (6) the Fair Market Value applicable to an Award.</w:t>
      </w:r>
    </w:p>
    <w:p>
      <w:pPr>
        <w:spacing w:after="0" w:line="18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92" w:val="left"/>
        </w:tabs>
        <w:numPr>
          <w:ilvl w:val="3"/>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5" w:lineRule="exact"/>
        <w:rPr>
          <w:rFonts w:ascii="Times New Roman" w:cs="Times New Roman" w:eastAsia="Times New Roman" w:hAnsi="Times New Roman"/>
          <w:sz w:val="18"/>
          <w:szCs w:val="18"/>
          <w:b w:val="1"/>
          <w:bCs w:val="1"/>
          <w:color w:val="auto"/>
        </w:rPr>
      </w:pPr>
    </w:p>
    <w:p>
      <w:pPr>
        <w:ind w:left="2540" w:hanging="588"/>
        <w:spacing w:after="0"/>
        <w:tabs>
          <w:tab w:leader="none" w:pos="2540" w:val="left"/>
        </w:tabs>
        <w:numPr>
          <w:ilvl w:val="3"/>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8" w:name="page189"/>
    <w:bookmarkEnd w:id="188"/>
    <w:p>
      <w:pPr>
        <w:ind w:firstLine="1952"/>
        <w:spacing w:after="0" w:line="282" w:lineRule="auto"/>
        <w:tabs>
          <w:tab w:leader="none" w:pos="2559"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61"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563"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79" w:lineRule="exact"/>
        <w:rPr>
          <w:rFonts w:ascii="Times New Roman" w:cs="Times New Roman" w:eastAsia="Times New Roman" w:hAnsi="Times New Roman"/>
          <w:sz w:val="18"/>
          <w:szCs w:val="18"/>
          <w:b w:val="1"/>
          <w:bCs w:val="1"/>
          <w:color w:val="auto"/>
        </w:rPr>
      </w:pPr>
    </w:p>
    <w:p>
      <w:pPr>
        <w:ind w:right="20" w:firstLine="1952"/>
        <w:spacing w:after="0" w:line="282" w:lineRule="auto"/>
        <w:tabs>
          <w:tab w:leader="none" w:pos="2519"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61"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569"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79" w:lineRule="exact"/>
        <w:rPr>
          <w:rFonts w:ascii="Times New Roman" w:cs="Times New Roman" w:eastAsia="Times New Roman" w:hAnsi="Times New Roman"/>
          <w:sz w:val="18"/>
          <w:szCs w:val="18"/>
          <w:b w:val="1"/>
          <w:bCs w:val="1"/>
          <w:color w:val="auto"/>
        </w:rPr>
      </w:pPr>
    </w:p>
    <w:p>
      <w:pPr>
        <w:ind w:left="2620" w:hanging="668"/>
        <w:spacing w:after="0"/>
        <w:tabs>
          <w:tab w:leader="none" w:pos="262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25" w:lineRule="exact"/>
        <w:rPr>
          <w:rFonts w:ascii="Times New Roman" w:cs="Times New Roman" w:eastAsia="Times New Roman" w:hAnsi="Times New Roman"/>
          <w:sz w:val="18"/>
          <w:szCs w:val="18"/>
          <w:b w:val="1"/>
          <w:bCs w:val="1"/>
          <w:color w:val="auto"/>
        </w:rPr>
      </w:pPr>
    </w:p>
    <w:p>
      <w:pPr>
        <w:jc w:val="both"/>
        <w:ind w:firstLine="1952"/>
        <w:spacing w:after="0" w:line="254" w:lineRule="auto"/>
        <w:tabs>
          <w:tab w:leader="none" w:pos="2613"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(1) the Board shall not, without stockholder approval, reduce the exercise or strike price of an Option or SAR (other than in connection with a Capitalization Adjustment) and, at any time when the exercise or strike price of an Option or SAR is above the Fair Market Value of a share of Common Stock, the Board shall not, without stockholder approval, cancel and re-grant or exchange such Option or SAR for a new Award with a lower (or no) purchase price or for cash, and (2) a Participant’s rights under any Award will not be Materially Impaired by any such amendment unless (A) the Company requests the consent of the affected Participant, and (B) such Participant consents in writing.</w:t>
      </w:r>
    </w:p>
    <w:p>
      <w:pPr>
        <w:spacing w:after="0" w:line="191"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523"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1"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546"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9" w:name="page190"/>
    <w:bookmarkEnd w:id="189"/>
    <w:p>
      <w:pPr>
        <w:ind w:left="1900" w:hanging="596"/>
        <w:spacing w:after="0"/>
        <w:tabs>
          <w:tab w:leader="none" w:pos="190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952"/>
        <w:spacing w:after="0" w:line="255" w:lineRule="auto"/>
        <w:tabs>
          <w:tab w:leader="none" w:pos="2591" w:val="left"/>
        </w:tabs>
        <w:numPr>
          <w:ilvl w:val="1"/>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Board may delegate some or all of the administration of the Plan to a Committee or Committees.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4" w:lineRule="exact"/>
        <w:rPr>
          <w:rFonts w:ascii="Times New Roman" w:cs="Times New Roman" w:eastAsia="Times New Roman" w:hAnsi="Times New Roman"/>
          <w:sz w:val="18"/>
          <w:szCs w:val="18"/>
          <w:b w:val="1"/>
          <w:bCs w:val="1"/>
          <w:color w:val="auto"/>
        </w:rPr>
      </w:pPr>
    </w:p>
    <w:p>
      <w:pPr>
        <w:jc w:val="both"/>
        <w:ind w:firstLine="1952"/>
        <w:spacing w:after="0" w:line="262" w:lineRule="auto"/>
        <w:tabs>
          <w:tab w:leader="none" w:pos="2584" w:val="left"/>
        </w:tabs>
        <w:numPr>
          <w:ilvl w:val="1"/>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 16b-3 Compliance</w:t>
      </w:r>
      <w:r>
        <w:rPr>
          <w:rFonts w:ascii="Times New Roman" w:cs="Times New Roman" w:eastAsia="Times New Roman" w:hAnsi="Times New Roman"/>
          <w:sz w:val="18"/>
          <w:szCs w:val="18"/>
          <w:color w:val="auto"/>
        </w:rPr>
        <w:t>. To the extent an Award is intended to qualify for the exemption from Section 16(b)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76"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951"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Board’s Decision</w:t>
      </w:r>
      <w:r>
        <w:rPr>
          <w:rFonts w:ascii="Times New Roman" w:cs="Times New Roman" w:eastAsia="Times New Roman" w:hAnsi="Times New Roman"/>
          <w:sz w:val="18"/>
          <w:szCs w:val="18"/>
          <w:color w:val="auto"/>
        </w:rPr>
        <w:t>. All determinations, interpretations and constructions made by the Board or any Committee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faith will not be subject to 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931"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an Officer</w:t>
      </w:r>
      <w:r>
        <w:rPr>
          <w:rFonts w:ascii="Times New Roman" w:cs="Times New Roman" w:eastAsia="Times New Roman" w:hAnsi="Times New Roman"/>
          <w:sz w:val="18"/>
          <w:szCs w:val="18"/>
          <w:color w:val="auto"/>
        </w:rPr>
        <w:t>. The Board or any Committee may delegate to one or more Officers the authority to do one or both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0" w:name="page191"/>
    <w:bookmarkEnd w:id="190"/>
    <w:p>
      <w:pPr>
        <w:ind w:left="1340" w:hanging="684"/>
        <w:spacing w:after="0"/>
        <w:tabs>
          <w:tab w:leader="none" w:pos="134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Withholding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2005" w:val="left"/>
        </w:tabs>
        <w:numPr>
          <w:ilvl w:val="1"/>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Authorization</w:t>
      </w:r>
      <w:r>
        <w:rPr>
          <w:rFonts w:ascii="Times New Roman" w:cs="Times New Roman" w:eastAsia="Times New Roman" w:hAnsi="Times New Roman"/>
          <w:sz w:val="18"/>
          <w:szCs w:val="18"/>
          <w:color w:val="auto"/>
        </w:rPr>
        <w:t>. As a condition to acceptance of any Award under the Plan, a Participant authorizes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payroll and any other amounts payable to such Participant, and otherwise agrees to make adequate provision for (including), any sums required to satisfy any U.S. and/or non-U.S. federal, state, or local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921" w:val="left"/>
        </w:tabs>
        <w:numPr>
          <w:ilvl w:val="1"/>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Satisfaction of Withholding Obligation</w:t>
      </w:r>
      <w:r>
        <w:rPr>
          <w:rFonts w:ascii="Times New Roman" w:cs="Times New Roman" w:eastAsia="Times New Roman" w:hAnsi="Times New Roman"/>
          <w:sz w:val="18"/>
          <w:szCs w:val="18"/>
          <w:color w:val="auto"/>
        </w:rPr>
        <w:t>. To the extent permitted by the terms of an Award Agreement, the Company may,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discretion, satisfy any U.S. and/or non-U.S. federal, state or local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920" w:val="left"/>
        </w:tabs>
        <w:numPr>
          <w:ilvl w:val="1"/>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Obligation to Notify or Minimize Taxes; No Liability to Claims</w:t>
      </w:r>
      <w:r>
        <w:rPr>
          <w:rFonts w:ascii="Times New Roman" w:cs="Times New Roman" w:eastAsia="Times New Roman" w:hAnsi="Times New Roman"/>
          <w:sz w:val="18"/>
          <w:szCs w:val="18"/>
          <w:color w:val="auto"/>
        </w:rPr>
        <w:t>. Except as required by Applicable Law,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1" w:name="page192"/>
    <w:bookmarkEnd w:id="191"/>
    <w:p>
      <w:pPr>
        <w:jc w:val="both"/>
        <w:ind w:firstLine="1304"/>
        <w:spacing w:after="0" w:line="262" w:lineRule="auto"/>
        <w:tabs>
          <w:tab w:leader="none" w:pos="2124" w:val="left"/>
        </w:tabs>
        <w:numPr>
          <w:ilvl w:val="1"/>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Indemnification</w:t>
      </w:r>
      <w:r>
        <w:rPr>
          <w:rFonts w:ascii="Times New Roman" w:cs="Times New Roman" w:eastAsia="Times New Roman" w:hAnsi="Times New Roman"/>
          <w:sz w:val="18"/>
          <w:szCs w:val="18"/>
          <w:color w:val="auto"/>
        </w:rPr>
        <w:t>. As a condition to accepting an Award under the Plan, in the event that the amount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76" w:lineRule="exact"/>
        <w:rPr>
          <w:rFonts w:ascii="Times New Roman" w:cs="Times New Roman" w:eastAsia="Times New Roman" w:hAnsi="Times New Roman"/>
          <w:sz w:val="18"/>
          <w:szCs w:val="18"/>
          <w:b w:val="1"/>
          <w:bCs w:val="1"/>
          <w:color w:val="auto"/>
        </w:rPr>
      </w:pPr>
    </w:p>
    <w:p>
      <w:pPr>
        <w:ind w:left="1340" w:hanging="684"/>
        <w:spacing w:after="0"/>
        <w:tabs>
          <w:tab w:leader="none" w:pos="134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2010" w:val="left"/>
        </w:tabs>
        <w:numPr>
          <w:ilvl w:val="1"/>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of Shares</w:t>
      </w:r>
      <w:r>
        <w:rPr>
          <w:rFonts w:ascii="Times New Roman" w:cs="Times New Roman" w:eastAsia="Times New Roman" w:hAnsi="Times New Roman"/>
          <w:sz w:val="18"/>
          <w:szCs w:val="18"/>
          <w:color w:val="auto"/>
        </w:rPr>
        <w:t>. The stock issuable under the Plan will be shares of authorized but unissued or reacquired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shares 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2004" w:val="left"/>
        </w:tabs>
        <w:numPr>
          <w:ilvl w:val="1"/>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 from Sales of Common Stock</w:t>
      </w:r>
      <w:r>
        <w:rPr>
          <w:rFonts w:ascii="Times New Roman" w:cs="Times New Roman" w:eastAsia="Times New Roman" w:hAnsi="Times New Roman"/>
          <w:sz w:val="18"/>
          <w:szCs w:val="18"/>
          <w:color w:val="auto"/>
        </w:rPr>
        <w:t>. Proceeds from the sale of shares of Common Stock pursuant to Awards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general funds of the Company.</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979" w:val="left"/>
        </w:tabs>
        <w:numPr>
          <w:ilvl w:val="1"/>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Action Constituting Grant of Awards</w:t>
      </w:r>
      <w:r>
        <w:rPr>
          <w:rFonts w:ascii="Times New Roman" w:cs="Times New Roman" w:eastAsia="Times New Roman" w:hAnsi="Times New Roman"/>
          <w:sz w:val="18"/>
          <w:szCs w:val="18"/>
          <w:color w:val="auto"/>
        </w:rPr>
        <w:t>. Corporate action constituting a grant by the Company of an Award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69" w:val="left"/>
        </w:tabs>
        <w:numPr>
          <w:ilvl w:val="1"/>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Rights</w:t>
      </w:r>
      <w:r>
        <w:rPr>
          <w:rFonts w:ascii="Times New Roman" w:cs="Times New Roman" w:eastAsia="Times New Roman" w:hAnsi="Times New Roman"/>
          <w:sz w:val="18"/>
          <w:szCs w:val="18"/>
          <w:color w:val="auto"/>
        </w:rPr>
        <w:t>. No Participant will be deemed to be the holder of, or to have any of the rights of a holder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71" w:lineRule="auto"/>
        <w:tabs>
          <w:tab w:leader="none" w:pos="2100" w:val="left"/>
        </w:tabs>
        <w:numPr>
          <w:ilvl w:val="1"/>
          <w:numId w:val="2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 Employment or Other Service Rights</w:t>
      </w:r>
      <w:r>
        <w:rPr>
          <w:rFonts w:ascii="Times New Roman" w:cs="Times New Roman" w:eastAsia="Times New Roman" w:hAnsi="Times New Roman"/>
          <w:sz w:val="17"/>
          <w:szCs w:val="17"/>
          <w:color w:val="auto"/>
        </w:rPr>
        <w:t>. Nothing in the Plan, any Award Agreement or any other instrument executed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2" w:name="page193"/>
    <w:bookmarkEnd w:id="192"/>
    <w:p>
      <w:pPr>
        <w:jc w:val="both"/>
        <w:ind w:firstLine="1304"/>
        <w:spacing w:after="0" w:line="256" w:lineRule="auto"/>
        <w:tabs>
          <w:tab w:leader="none" w:pos="1962"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Time Commitment</w:t>
      </w:r>
      <w:r>
        <w:rPr>
          <w:rFonts w:ascii="Times New Roman" w:cs="Times New Roman" w:eastAsia="Times New Roman" w:hAnsi="Times New Roman"/>
          <w:sz w:val="18"/>
          <w:szCs w:val="18"/>
          <w:color w:val="auto"/>
        </w:rPr>
        <w:t>. In the event a Participant’s regular level of time commitment in the performance of his or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2002"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Execution of Additional Documents</w:t>
      </w:r>
      <w:r>
        <w:rPr>
          <w:rFonts w:ascii="Times New Roman" w:cs="Times New Roman" w:eastAsia="Times New Roman" w:hAnsi="Times New Roman"/>
          <w:sz w:val="18"/>
          <w:szCs w:val="18"/>
          <w:color w:val="auto"/>
        </w:rPr>
        <w:t>. As a condition to accepting an Award under the Plan, the Participant agrees to execute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951"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 and Participation</w:t>
      </w:r>
      <w:r>
        <w:rPr>
          <w:rFonts w:ascii="Times New Roman" w:cs="Times New Roman" w:eastAsia="Times New Roman" w:hAnsi="Times New Roman"/>
          <w:sz w:val="18"/>
          <w:szCs w:val="18"/>
          <w:color w:val="auto"/>
        </w:rPr>
        <w:t>. Any reference herein or in an Award Agreement to a “written” agreement or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911"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Clawback/Recovery</w:t>
      </w:r>
      <w:r>
        <w:rPr>
          <w:rFonts w:ascii="Times New Roman" w:cs="Times New Roman" w:eastAsia="Times New Roman" w:hAnsi="Times New Roman"/>
          <w:sz w:val="18"/>
          <w:szCs w:val="18"/>
          <w:color w:val="auto"/>
        </w:rPr>
        <w:t>. All Awards granted under the Plan will be subject to recoupment in accordance with any clawback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84"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947"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Law Compliance</w:t>
      </w:r>
      <w:r>
        <w:rPr>
          <w:rFonts w:ascii="Times New Roman" w:cs="Times New Roman" w:eastAsia="Times New Roman" w:hAnsi="Times New Roman"/>
          <w:sz w:val="18"/>
          <w:szCs w:val="18"/>
          <w:color w:val="auto"/>
        </w:rPr>
        <w:t>. A Participant will not be issued any shares in respect of an Award unless either (i) the shares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3" w:name="page194"/>
    <w:bookmarkEnd w:id="193"/>
    <w:p>
      <w:pPr>
        <w:jc w:val="both"/>
        <w:ind w:firstLine="1304"/>
        <w:spacing w:after="0" w:line="259" w:lineRule="auto"/>
        <w:tabs>
          <w:tab w:leader="none" w:pos="1926"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or Assignment of Awards; Issued Shares</w:t>
      </w:r>
      <w:r>
        <w:rPr>
          <w:rFonts w:ascii="Times New Roman" w:cs="Times New Roman" w:eastAsia="Times New Roman" w:hAnsi="Times New Roman"/>
          <w:sz w:val="18"/>
          <w:szCs w:val="18"/>
          <w:color w:val="auto"/>
        </w:rPr>
        <w:t>. Except as expressly provided in the Plan or the form of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897"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on Other Employee Benefit Plans</w:t>
      </w:r>
      <w:r>
        <w:rPr>
          <w:rFonts w:ascii="Times New Roman" w:cs="Times New Roman" w:eastAsia="Times New Roman" w:hAnsi="Times New Roman"/>
          <w:sz w:val="18"/>
          <w:szCs w:val="18"/>
          <w:color w:val="auto"/>
        </w:rPr>
        <w:t>. The value of any Award granted under the Plan, as determined upon grant, vesting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2119"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Deferrals</w:t>
      </w:r>
      <w:r>
        <w:rPr>
          <w:rFonts w:ascii="Times New Roman" w:cs="Times New Roman" w:eastAsia="Times New Roman" w:hAnsi="Times New Roman"/>
          <w:sz w:val="18"/>
          <w:szCs w:val="18"/>
          <w:color w:val="auto"/>
        </w:rPr>
        <w:t>. To the extent permitted by Applicable Law, the Board, in its sole discretion, may determine that the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or the payment of cash, upon the exercise, vesting or settlement of all or a portion of any Award may be deferred and may establish programs and procedures for deferral elections to be made by Participants. Deferrals will be made in accordance with the requirements of Section 409A.</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2127"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Unless otherwise expressly provided for in an Award Agreement, the Plan and Award Agreements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4" w:name="page195"/>
    <w:bookmarkEnd w:id="194"/>
    <w:p>
      <w:pPr>
        <w:jc w:val="both"/>
        <w:ind w:firstLine="1304"/>
        <w:spacing w:after="0" w:line="268" w:lineRule="auto"/>
        <w:tabs>
          <w:tab w:leader="none" w:pos="2043" w:val="left"/>
        </w:tabs>
        <w:numPr>
          <w:ilvl w:val="1"/>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Plan and any controversy arising out of or relating to this Plan shall be governed by, and construed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internal laws of the State of Delaware, without regard to conflict of law principles that would result in any application of any law other than the law of the State of Delaware.</w:t>
      </w:r>
    </w:p>
    <w:p>
      <w:pPr>
        <w:spacing w:after="0" w:line="170" w:lineRule="exact"/>
        <w:rPr>
          <w:rFonts w:ascii="Times New Roman" w:cs="Times New Roman" w:eastAsia="Times New Roman" w:hAnsi="Times New Roman"/>
          <w:sz w:val="18"/>
          <w:szCs w:val="18"/>
          <w:b w:val="1"/>
          <w:bCs w:val="1"/>
          <w:color w:val="auto"/>
        </w:rPr>
      </w:pPr>
    </w:p>
    <w:p>
      <w:pPr>
        <w:ind w:left="1340" w:hanging="684"/>
        <w:spacing w:after="0"/>
        <w:tabs>
          <w:tab w:leader="none" w:pos="134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Company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2076" w:val="left"/>
        </w:tabs>
        <w:numPr>
          <w:ilvl w:val="1"/>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Law</w:t>
      </w:r>
      <w:r>
        <w:rPr>
          <w:rFonts w:ascii="Times New Roman" w:cs="Times New Roman" w:eastAsia="Times New Roman" w:hAnsi="Times New Roman"/>
          <w:sz w:val="18"/>
          <w:szCs w:val="18"/>
          <w:color w:val="auto"/>
        </w:rPr>
        <w:t>. The Company will seek to obtain from each regulatory commission or agency, as may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84" w:lineRule="exact"/>
        <w:rPr>
          <w:rFonts w:ascii="Times New Roman" w:cs="Times New Roman" w:eastAsia="Times New Roman" w:hAnsi="Times New Roman"/>
          <w:sz w:val="18"/>
          <w:szCs w:val="18"/>
          <w:b w:val="1"/>
          <w:bCs w:val="1"/>
          <w:color w:val="auto"/>
        </w:rPr>
      </w:pPr>
    </w:p>
    <w:p>
      <w:pPr>
        <w:ind w:left="1320" w:hanging="664"/>
        <w:spacing w:after="0"/>
        <w:tabs>
          <w:tab w:leader="none" w:pos="132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Rules for Awards Subject to 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55" w:val="left"/>
        </w:tabs>
        <w:numPr>
          <w:ilvl w:val="1"/>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 Unless the provisions of this Section of the Plan are expressly superseded by the provisions in the form of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provisions of this Section shall apply and shall supersede anything to the contrary set forth in the Award Agreement for a Non-Exempt Award.</w:t>
      </w:r>
    </w:p>
    <w:p>
      <w:pPr>
        <w:spacing w:after="0" w:line="170"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2042" w:val="left"/>
        </w:tabs>
        <w:numPr>
          <w:ilvl w:val="1"/>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Awards Subject to Non-Exempt Severance Arrangements</w:t>
      </w:r>
      <w:r>
        <w:rPr>
          <w:rFonts w:ascii="Times New Roman" w:cs="Times New Roman" w:eastAsia="Times New Roman" w:hAnsi="Times New Roman"/>
          <w:sz w:val="18"/>
          <w:szCs w:val="18"/>
          <w:color w:val="auto"/>
        </w:rPr>
        <w:t>. To the extent a Non-Exempt Award is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due to application of a Non-Exempt Severance Arrangement, the following provisions of this subsection (b) apply.</w:t>
      </w:r>
    </w:p>
    <w:p>
      <w:pPr>
        <w:spacing w:after="0" w:line="158" w:lineRule="exact"/>
        <w:rPr>
          <w:rFonts w:ascii="Times New Roman" w:cs="Times New Roman" w:eastAsia="Times New Roman" w:hAnsi="Times New Roman"/>
          <w:sz w:val="18"/>
          <w:szCs w:val="18"/>
          <w:b w:val="1"/>
          <w:bCs w:val="1"/>
          <w:color w:val="auto"/>
        </w:rPr>
      </w:pPr>
    </w:p>
    <w:p>
      <w:pPr>
        <w:jc w:val="both"/>
        <w:ind w:firstLine="1952"/>
        <w:spacing w:after="0" w:line="229" w:lineRule="auto"/>
        <w:tabs>
          <w:tab w:leader="none" w:pos="2442" w:val="left"/>
        </w:tabs>
        <w:numPr>
          <w:ilvl w:val="2"/>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that follows the applicable vesting date.</w:t>
      </w:r>
    </w:p>
    <w:p>
      <w:pPr>
        <w:spacing w:after="0" w:line="48" w:lineRule="exact"/>
        <w:rPr>
          <w:rFonts w:ascii="Times New Roman" w:cs="Times New Roman" w:eastAsia="Times New Roman" w:hAnsi="Times New Roman"/>
          <w:sz w:val="18"/>
          <w:szCs w:val="18"/>
          <w:b w:val="1"/>
          <w:bCs w:val="1"/>
          <w:color w:val="auto"/>
        </w:rPr>
      </w:pPr>
    </w:p>
    <w:p>
      <w:pPr>
        <w:jc w:val="both"/>
        <w:ind w:firstLine="1952"/>
        <w:spacing w:after="0" w:line="235" w:lineRule="auto"/>
        <w:tabs>
          <w:tab w:leader="none" w:pos="2479" w:val="left"/>
        </w:tabs>
        <w:numPr>
          <w:ilvl w:val="2"/>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5" w:name="page196"/>
    <w:bookmarkEnd w:id="195"/>
    <w:p>
      <w:pPr>
        <w:jc w:val="both"/>
        <w:ind w:firstLine="1952"/>
        <w:spacing w:after="0" w:line="255" w:lineRule="auto"/>
        <w:tabs>
          <w:tab w:leader="none" w:pos="2556" w:val="left"/>
        </w:tabs>
        <w:numPr>
          <w:ilvl w:val="1"/>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84"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954"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Treatment of Non-Exempt Awards Upon a Corporate Transaction for Employees and Consultants</w:t>
      </w:r>
      <w:r>
        <w:rPr>
          <w:rFonts w:ascii="Times New Roman" w:cs="Times New Roman" w:eastAsia="Times New Roman" w:hAnsi="Times New Roman"/>
          <w:sz w:val="18"/>
          <w:szCs w:val="18"/>
          <w:color w:val="auto"/>
        </w:rPr>
        <w:t>.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76" w:lineRule="exact"/>
        <w:rPr>
          <w:rFonts w:ascii="Times New Roman" w:cs="Times New Roman" w:eastAsia="Times New Roman" w:hAnsi="Times New Roman"/>
          <w:sz w:val="18"/>
          <w:szCs w:val="18"/>
          <w:b w:val="1"/>
          <w:bCs w:val="1"/>
          <w:color w:val="auto"/>
        </w:rPr>
      </w:pPr>
    </w:p>
    <w:p>
      <w:pPr>
        <w:ind w:left="2720" w:hanging="768"/>
        <w:spacing w:after="0"/>
        <w:tabs>
          <w:tab w:leader="none" w:pos="2720" w:val="left"/>
        </w:tabs>
        <w:numPr>
          <w:ilvl w:val="1"/>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Vested Non-Exempt Awards</w:t>
      </w:r>
      <w:r>
        <w:rPr>
          <w:rFonts w:ascii="Times New Roman" w:cs="Times New Roman" w:eastAsia="Times New Roman" w:hAnsi="Times New Roman"/>
          <w:sz w:val="18"/>
          <w:szCs w:val="18"/>
          <w:color w:val="auto"/>
        </w:rPr>
        <w:t>. The following provisions shall apply to any Vested Non-Exempt Award in connection</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a Corporate Transaction:</w:t>
      </w:r>
    </w:p>
    <w:p>
      <w:pPr>
        <w:spacing w:after="0" w:line="206" w:lineRule="exact"/>
        <w:rPr>
          <w:rFonts w:ascii="Times New Roman" w:cs="Times New Roman" w:eastAsia="Times New Roman" w:hAnsi="Times New Roman"/>
          <w:sz w:val="18"/>
          <w:szCs w:val="18"/>
          <w:b w:val="1"/>
          <w:bCs w:val="1"/>
          <w:color w:val="auto"/>
        </w:rPr>
      </w:pPr>
    </w:p>
    <w:p>
      <w:pPr>
        <w:jc w:val="both"/>
        <w:ind w:firstLine="2600"/>
        <w:spacing w:after="0" w:line="258" w:lineRule="auto"/>
        <w:tabs>
          <w:tab w:leader="none" w:pos="3265" w:val="left"/>
        </w:tabs>
        <w:numPr>
          <w:ilvl w:val="2"/>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3" w:lineRule="exact"/>
        <w:rPr>
          <w:rFonts w:ascii="Times New Roman" w:cs="Times New Roman" w:eastAsia="Times New Roman" w:hAnsi="Times New Roman"/>
          <w:sz w:val="18"/>
          <w:szCs w:val="18"/>
          <w:b w:val="1"/>
          <w:bCs w:val="1"/>
          <w:color w:val="auto"/>
        </w:rPr>
      </w:pPr>
    </w:p>
    <w:p>
      <w:pPr>
        <w:jc w:val="both"/>
        <w:ind w:firstLine="2600"/>
        <w:spacing w:after="0" w:line="256" w:lineRule="auto"/>
        <w:tabs>
          <w:tab w:leader="none" w:pos="3117" w:val="left"/>
        </w:tabs>
        <w:numPr>
          <w:ilvl w:val="2"/>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6" w:name="page197"/>
    <w:bookmarkEnd w:id="196"/>
    <w:p>
      <w:pPr>
        <w:ind w:right="20" w:firstLine="1952"/>
        <w:spacing w:after="0" w:line="286" w:lineRule="auto"/>
        <w:tabs>
          <w:tab w:leader="none" w:pos="2773" w:val="left"/>
        </w:tabs>
        <w:numPr>
          <w:ilvl w:val="1"/>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Unvested Non-Exempt Awards</w:t>
      </w:r>
      <w:r>
        <w:rPr>
          <w:rFonts w:ascii="Times New Roman" w:cs="Times New Roman" w:eastAsia="Times New Roman" w:hAnsi="Times New Roman"/>
          <w:sz w:val="18"/>
          <w:szCs w:val="18"/>
          <w:color w:val="auto"/>
        </w:rPr>
        <w:t>. The following provisions shall apply to any Unvested Non-Exempt Award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determined by the Board pursuant to subsection (e) of this Section.</w:t>
      </w:r>
    </w:p>
    <w:p>
      <w:pPr>
        <w:spacing w:after="0" w:line="158" w:lineRule="exact"/>
        <w:rPr>
          <w:rFonts w:ascii="Times New Roman" w:cs="Times New Roman" w:eastAsia="Times New Roman" w:hAnsi="Times New Roman"/>
          <w:sz w:val="18"/>
          <w:szCs w:val="18"/>
          <w:b w:val="1"/>
          <w:bCs w:val="1"/>
          <w:color w:val="auto"/>
        </w:rPr>
      </w:pPr>
    </w:p>
    <w:p>
      <w:pPr>
        <w:jc w:val="both"/>
        <w:ind w:firstLine="2600"/>
        <w:spacing w:after="0" w:line="255" w:lineRule="auto"/>
        <w:tabs>
          <w:tab w:leader="none" w:pos="3144" w:val="left"/>
        </w:tabs>
        <w:numPr>
          <w:ilvl w:val="2"/>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88" w:lineRule="exact"/>
        <w:rPr>
          <w:rFonts w:ascii="Times New Roman" w:cs="Times New Roman" w:eastAsia="Times New Roman" w:hAnsi="Times New Roman"/>
          <w:sz w:val="18"/>
          <w:szCs w:val="18"/>
          <w:b w:val="1"/>
          <w:bCs w:val="1"/>
          <w:color w:val="auto"/>
        </w:rPr>
      </w:pPr>
    </w:p>
    <w:p>
      <w:pPr>
        <w:jc w:val="both"/>
        <w:ind w:firstLine="2600"/>
        <w:spacing w:after="0" w:line="254" w:lineRule="auto"/>
        <w:tabs>
          <w:tab w:leader="none" w:pos="3144" w:val="left"/>
        </w:tabs>
        <w:numPr>
          <w:ilvl w:val="2"/>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91" w:lineRule="exact"/>
        <w:rPr>
          <w:rFonts w:ascii="Times New Roman" w:cs="Times New Roman" w:eastAsia="Times New Roman" w:hAnsi="Times New Roman"/>
          <w:sz w:val="18"/>
          <w:szCs w:val="18"/>
          <w:b w:val="1"/>
          <w:bCs w:val="1"/>
          <w:color w:val="auto"/>
        </w:rPr>
      </w:pPr>
    </w:p>
    <w:p>
      <w:pPr>
        <w:ind w:left="3280" w:hanging="680"/>
        <w:spacing w:after="0"/>
        <w:tabs>
          <w:tab w:leader="none" w:pos="3280" w:val="left"/>
        </w:tabs>
        <w:numPr>
          <w:ilvl w:val="2"/>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 and regardless of whether or not such Corporate Transaction is also a Section 409A Change in Control.</w:t>
      </w:r>
    </w:p>
    <w:p>
      <w:pPr>
        <w:spacing w:after="0" w:line="202"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68"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Treatment of Non-Exempt Awards Upon a Corporate Transaction for Non-Employee Directors</w:t>
      </w:r>
      <w:r>
        <w:rPr>
          <w:rFonts w:ascii="Times New Roman" w:cs="Times New Roman" w:eastAsia="Times New Roman" w:hAnsi="Times New Roman"/>
          <w:sz w:val="18"/>
          <w:szCs w:val="18"/>
          <w:color w:val="auto"/>
        </w:rPr>
        <w:t>. The following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subsection (d) shall apply and shall supersede anything to the contrary that may be set forth in the Plan with respect to the permitted treatment of a Non-Exempt Director Award in connection with a Corporate Transaction.</w:t>
      </w:r>
    </w:p>
    <w:p>
      <w:pPr>
        <w:spacing w:after="0" w:line="174" w:lineRule="exact"/>
        <w:rPr>
          <w:rFonts w:ascii="Times New Roman" w:cs="Times New Roman" w:eastAsia="Times New Roman" w:hAnsi="Times New Roman"/>
          <w:sz w:val="18"/>
          <w:szCs w:val="18"/>
          <w:b w:val="1"/>
          <w:bCs w:val="1"/>
          <w:color w:val="auto"/>
        </w:rPr>
      </w:pPr>
    </w:p>
    <w:p>
      <w:pPr>
        <w:jc w:val="both"/>
        <w:ind w:firstLine="1952"/>
        <w:spacing w:after="0" w:line="258" w:lineRule="auto"/>
        <w:tabs>
          <w:tab w:leader="none" w:pos="2726" w:val="left"/>
        </w:tabs>
        <w:numPr>
          <w:ilvl w:val="1"/>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7" w:name="page198"/>
    <w:bookmarkEnd w:id="197"/>
    <w:p>
      <w:pPr>
        <w:jc w:val="both"/>
        <w:ind w:firstLine="1952"/>
        <w:spacing w:after="0" w:line="255" w:lineRule="auto"/>
        <w:tabs>
          <w:tab w:leader="none" w:pos="2789" w:val="left"/>
        </w:tabs>
        <w:numPr>
          <w:ilvl w:val="1"/>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88"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981"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61"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618" w:val="left"/>
        </w:tabs>
        <w:numPr>
          <w:ilvl w:val="1"/>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76" w:lineRule="exact"/>
        <w:rPr>
          <w:sz w:val="20"/>
          <w:szCs w:val="20"/>
          <w:color w:val="auto"/>
        </w:rPr>
      </w:pPr>
    </w:p>
    <w:p>
      <w:pPr>
        <w:jc w:val="both"/>
        <w:ind w:firstLine="1952"/>
        <w:spacing w:after="0" w:line="266" w:lineRule="auto"/>
        <w:tabs>
          <w:tab w:leader="none" w:pos="2668"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1.409A-3(j)(4) (ix).</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54" w:lineRule="auto"/>
        <w:tabs>
          <w:tab w:leader="none" w:pos="2542"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91"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519"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8" w:name="page199"/>
    <w:bookmarkEnd w:id="198"/>
    <w:p>
      <w:pPr>
        <w:ind w:left="1280" w:hanging="624"/>
        <w:spacing w:after="0"/>
        <w:tabs>
          <w:tab w:leader="none" w:pos="1280"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sz w:val="20"/>
          <w:szCs w:val="20"/>
          <w:color w:val="auto"/>
        </w:rPr>
      </w:pPr>
    </w:p>
    <w:p>
      <w:pPr>
        <w:ind w:left="1280" w:hanging="624"/>
        <w:spacing w:after="0"/>
        <w:tabs>
          <w:tab w:leader="none" w:pos="1280"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the Plan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earlier of: (i) the Adoption Date, or (ii) the date the Plan is approved by the Company’s stockholders. No Awards may be granted under the Plan while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is suspended or after it is terminated.</w:t>
      </w:r>
    </w:p>
    <w:p>
      <w:pPr>
        <w:spacing w:after="0" w:line="203" w:lineRule="exact"/>
        <w:rPr>
          <w:sz w:val="20"/>
          <w:szCs w:val="20"/>
          <w:color w:val="auto"/>
        </w:rPr>
      </w:pPr>
    </w:p>
    <w:p>
      <w:pPr>
        <w:ind w:left="1280" w:hanging="624"/>
        <w:spacing w:after="0"/>
        <w:tabs>
          <w:tab w:leader="none" w:pos="128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221" w:lineRule="exact"/>
        <w:rPr>
          <w:rFonts w:ascii="Times New Roman" w:cs="Times New Roman" w:eastAsia="Times New Roman" w:hAnsi="Times New Roman"/>
          <w:sz w:val="18"/>
          <w:szCs w:val="18"/>
          <w:b w:val="1"/>
          <w:bCs w:val="1"/>
          <w:color w:val="auto"/>
        </w:rPr>
      </w:pPr>
    </w:p>
    <w:p>
      <w:pPr>
        <w:ind w:left="2140" w:hanging="836"/>
        <w:spacing w:after="0"/>
        <w:tabs>
          <w:tab w:leader="none" w:pos="2140" w:val="left"/>
        </w:tabs>
        <w:numPr>
          <w:ilvl w:val="1"/>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w:t>
      </w:r>
    </w:p>
    <w:p>
      <w:pPr>
        <w:spacing w:after="0" w:line="202" w:lineRule="exact"/>
        <w:rPr>
          <w:rFonts w:ascii="Times New Roman" w:cs="Times New Roman" w:eastAsia="Times New Roman" w:hAnsi="Times New Roman"/>
          <w:sz w:val="18"/>
          <w:szCs w:val="18"/>
          <w:b w:val="1"/>
          <w:bCs w:val="1"/>
          <w:color w:val="auto"/>
        </w:rPr>
      </w:pPr>
    </w:p>
    <w:p>
      <w:pPr>
        <w:ind w:left="1920" w:hanging="616"/>
        <w:spacing w:after="0"/>
        <w:tabs>
          <w:tab w:leader="none" w:pos="1920" w:val="left"/>
        </w:tabs>
        <w:numPr>
          <w:ilvl w:val="1"/>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54" w:val="left"/>
        </w:tabs>
        <w:numPr>
          <w:ilvl w:val="1"/>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1975" w:val="left"/>
        </w:tabs>
        <w:numPr>
          <w:ilvl w:val="1"/>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the Code and any applicable U.S. or non-U.S. securities,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9"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914" w:val="left"/>
        </w:tabs>
        <w:numPr>
          <w:ilvl w:val="1"/>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 RSU Award, a SAR, or any Other Award).</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21" w:val="left"/>
        </w:tabs>
        <w:numPr>
          <w:ilvl w:val="1"/>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9" w:name="page200"/>
    <w:bookmarkEnd w:id="199"/>
    <w:p>
      <w:pPr>
        <w:jc w:val="both"/>
        <w:ind w:firstLine="1304"/>
        <w:spacing w:after="0" w:line="268" w:lineRule="auto"/>
        <w:tabs>
          <w:tab w:leader="none" w:pos="1937"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988"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2" w:lineRule="auto"/>
        <w:tabs>
          <w:tab w:leader="none" w:pos="1884"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has the meaning ascribed to such term in any written agreement between the Participant and the Company defining such term and, in the absence of such agreement, such term means, with respect to a Participant, the occurrence of any of the following events: (i) the Participant’s theft, dishonesty, willful misconduct, breach of fiduciary duty for personal profit, or intentional falsification of any Company or Affiliate documents or records; (ii) the Participant’s material failure to abide by the Company’s Code of Business Conduct and Ethics or other policies (including, without limitation, policies relating to confidentiality and reasonable workplace conduct and policies of any Affiliate, as applicable); (iii) the Participant’s unauthorized use, misappropriation, destruction or diversion of any tangible or intangible asset or corporate opportunity of the Company or any of its Affiliates (including, without limitation, the Participant’s improper use or disclosure of Company or Affiliate confidential or proprietary information); (iv) any intentional act by the Participant which has a material detrimental effect on the Company’s or its Affiliate’s reputation or business; (v) the Participant’s repeated failure or inability to perform any reasonable assigned duties after written notice from the Company (or its Affiliate, as applicable) of, and a reasonable opportunity to cure, such failure or inability; (vi) any material breach by the Participant of any employment or service agreement between the Participant and the Company (or its Affiliate, as applicable), which breach is not cured pursuant to the terms of such agreement; or (vii) the Participant’s conviction (including any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of any criminal act involving fraud, dishonesty, misappropriation or moral turpitude, or which impairs the Participant’s ability to perform his or her duties with the Company (or its Affiliate, as applicable). The determination that a termination of the Participant’s Continuous Service is either for Cause or without Cause will be made by the Board with respect to Participants who are executive officers of the Company and by the Company’s Chief Executive Officer or his or her designee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0" w:name="page201"/>
    <w:bookmarkEnd w:id="200"/>
    <w:p>
      <w:pPr>
        <w:jc w:val="both"/>
        <w:ind w:firstLine="1304"/>
        <w:spacing w:after="0" w:line="268" w:lineRule="auto"/>
        <w:tabs>
          <w:tab w:leader="none" w:pos="1908"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74" w:lineRule="exact"/>
        <w:rPr>
          <w:rFonts w:ascii="Times New Roman" w:cs="Times New Roman" w:eastAsia="Times New Roman" w:hAnsi="Times New Roman"/>
          <w:sz w:val="18"/>
          <w:szCs w:val="18"/>
          <w:b w:val="1"/>
          <w:bCs w:val="1"/>
          <w:color w:val="auto"/>
        </w:rPr>
      </w:pPr>
    </w:p>
    <w:p>
      <w:pPr>
        <w:jc w:val="both"/>
        <w:ind w:firstLine="1952"/>
        <w:spacing w:after="0" w:line="253" w:lineRule="auto"/>
        <w:tabs>
          <w:tab w:leader="none" w:pos="2442" w:val="left"/>
        </w:tabs>
        <w:numPr>
          <w:ilvl w:val="1"/>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b w:val="1"/>
          <w:bCs w:val="1"/>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91" w:lineRule="exact"/>
        <w:rPr>
          <w:rFonts w:ascii="Times New Roman" w:cs="Times New Roman" w:eastAsia="Times New Roman" w:hAnsi="Times New Roman"/>
          <w:sz w:val="18"/>
          <w:szCs w:val="18"/>
          <w:b w:val="1"/>
          <w:bCs w:val="1"/>
          <w:color w:val="auto"/>
        </w:rPr>
      </w:pPr>
    </w:p>
    <w:p>
      <w:pPr>
        <w:jc w:val="both"/>
        <w:ind w:firstLine="1952"/>
        <w:spacing w:after="0" w:line="256" w:lineRule="auto"/>
        <w:tabs>
          <w:tab w:leader="none" w:pos="2519" w:val="left"/>
        </w:tabs>
        <w:numPr>
          <w:ilvl w:val="1"/>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7" w:lineRule="exact"/>
        <w:rPr>
          <w:rFonts w:ascii="Times New Roman" w:cs="Times New Roman" w:eastAsia="Times New Roman" w:hAnsi="Times New Roman"/>
          <w:sz w:val="18"/>
          <w:szCs w:val="18"/>
          <w:b w:val="1"/>
          <w:bCs w:val="1"/>
          <w:color w:val="auto"/>
        </w:rPr>
      </w:pPr>
    </w:p>
    <w:p>
      <w:pPr>
        <w:ind w:firstLine="1952"/>
        <w:spacing w:after="0" w:line="282" w:lineRule="auto"/>
        <w:tabs>
          <w:tab w:leader="none" w:pos="2623" w:val="left"/>
        </w:tabs>
        <w:numPr>
          <w:ilvl w:val="1"/>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61" w:lineRule="exact"/>
        <w:rPr>
          <w:rFonts w:ascii="Times New Roman" w:cs="Times New Roman" w:eastAsia="Times New Roman" w:hAnsi="Times New Roman"/>
          <w:sz w:val="18"/>
          <w:szCs w:val="18"/>
          <w:b w:val="1"/>
          <w:bCs w:val="1"/>
          <w:color w:val="auto"/>
        </w:rPr>
      </w:pPr>
    </w:p>
    <w:p>
      <w:pPr>
        <w:jc w:val="both"/>
        <w:ind w:firstLine="1952"/>
        <w:spacing w:after="0" w:line="258" w:lineRule="auto"/>
        <w:tabs>
          <w:tab w:leader="none" w:pos="2586" w:val="left"/>
        </w:tabs>
        <w:numPr>
          <w:ilvl w:val="1"/>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1" w:name="page202"/>
    <w:bookmarkEnd w:id="201"/>
    <w:p>
      <w:pPr>
        <w:jc w:val="both"/>
        <w:ind w:firstLine="1952"/>
        <w:spacing w:after="0" w:line="262" w:lineRule="auto"/>
        <w:tabs>
          <w:tab w:leader="none" w:pos="2469"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79" w:lineRule="exact"/>
        <w:rPr>
          <w:sz w:val="20"/>
          <w:szCs w:val="20"/>
          <w:color w:val="auto"/>
        </w:rPr>
      </w:pPr>
    </w:p>
    <w:p>
      <w:pPr>
        <w:ind w:left="2180" w:hanging="876"/>
        <w:spacing w:after="0"/>
        <w:tabs>
          <w:tab w:leader="none" w:pos="218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firstLine="1304"/>
        <w:spacing w:after="0" w:line="286" w:lineRule="auto"/>
        <w:tabs>
          <w:tab w:leader="none" w:pos="1871"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one or more Directors to whom authority has been delegated by the Board or Compensation Committee in accordance with the Plan.</w:t>
      </w:r>
    </w:p>
    <w:p>
      <w:pPr>
        <w:spacing w:after="0" w:line="154" w:lineRule="exact"/>
        <w:rPr>
          <w:rFonts w:ascii="Times New Roman" w:cs="Times New Roman" w:eastAsia="Times New Roman" w:hAnsi="Times New Roman"/>
          <w:sz w:val="18"/>
          <w:szCs w:val="18"/>
          <w:b w:val="1"/>
          <w:bCs w:val="1"/>
          <w:color w:val="auto"/>
        </w:rPr>
      </w:pPr>
    </w:p>
    <w:p>
      <w:pPr>
        <w:ind w:left="1980" w:hanging="676"/>
        <w:spacing w:after="0"/>
        <w:tabs>
          <w:tab w:leader="none" w:pos="198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1840" w:hanging="536"/>
        <w:spacing w:after="0"/>
        <w:tabs>
          <w:tab w:leader="none" w:pos="184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Orchestra BioMed Holdings, Inc., a Delaware corporation, and any successor corporation thereto.</w:t>
      </w:r>
    </w:p>
    <w:p>
      <w:pPr>
        <w:spacing w:after="0" w:line="225" w:lineRule="exact"/>
        <w:rPr>
          <w:rFonts w:ascii="Times New Roman" w:cs="Times New Roman" w:eastAsia="Times New Roman" w:hAnsi="Times New Roman"/>
          <w:sz w:val="18"/>
          <w:szCs w:val="18"/>
          <w:b w:val="1"/>
          <w:bCs w:val="1"/>
          <w:color w:val="auto"/>
        </w:rPr>
      </w:pPr>
    </w:p>
    <w:p>
      <w:pPr>
        <w:ind w:left="1920" w:hanging="616"/>
        <w:spacing w:after="0"/>
        <w:tabs>
          <w:tab w:leader="none" w:pos="192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1934"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961"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2" w:name="page203"/>
    <w:bookmarkEnd w:id="202"/>
    <w:p>
      <w:pPr>
        <w:ind w:right="20" w:firstLine="1304"/>
        <w:spacing w:after="0" w:line="286" w:lineRule="auto"/>
        <w:tabs>
          <w:tab w:leader="none" w:pos="1995"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58" w:lineRule="exact"/>
        <w:rPr>
          <w:rFonts w:ascii="Times New Roman" w:cs="Times New Roman" w:eastAsia="Times New Roman" w:hAnsi="Times New Roman"/>
          <w:sz w:val="18"/>
          <w:szCs w:val="18"/>
          <w:b w:val="1"/>
          <w:bCs w:val="1"/>
          <w:color w:val="auto"/>
        </w:rPr>
      </w:pPr>
    </w:p>
    <w:p>
      <w:pPr>
        <w:ind w:left="2620" w:hanging="668"/>
        <w:spacing w:after="0"/>
        <w:tabs>
          <w:tab w:leader="none" w:pos="2620" w:val="left"/>
        </w:tabs>
        <w:numPr>
          <w:ilvl w:val="1"/>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and its Subsidiaries;</w:t>
      </w:r>
    </w:p>
    <w:p>
      <w:pPr>
        <w:spacing w:after="0" w:line="206" w:lineRule="exact"/>
        <w:rPr>
          <w:rFonts w:ascii="Times New Roman" w:cs="Times New Roman" w:eastAsia="Times New Roman" w:hAnsi="Times New Roman"/>
          <w:sz w:val="18"/>
          <w:szCs w:val="18"/>
          <w:b w:val="1"/>
          <w:bCs w:val="1"/>
          <w:color w:val="auto"/>
        </w:rPr>
      </w:pPr>
    </w:p>
    <w:p>
      <w:pPr>
        <w:ind w:left="2480" w:hanging="528"/>
        <w:spacing w:after="0"/>
        <w:tabs>
          <w:tab w:leader="none" w:pos="2480" w:val="left"/>
        </w:tabs>
        <w:numPr>
          <w:ilvl w:val="1"/>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2500" w:hanging="548"/>
        <w:spacing w:after="0"/>
        <w:tabs>
          <w:tab w:leader="none" w:pos="2500" w:val="left"/>
        </w:tabs>
        <w:numPr>
          <w:ilvl w:val="1"/>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559" w:val="left"/>
        </w:tabs>
        <w:numPr>
          <w:ilvl w:val="1"/>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1900" w:hanging="596"/>
        <w:spacing w:after="0"/>
        <w:tabs>
          <w:tab w:leader="none" w:pos="190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1880" w:hanging="576"/>
        <w:spacing w:after="0"/>
        <w:tabs>
          <w:tab w:leader="none" w:pos="188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2083"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3" w:name="page204"/>
    <w:bookmarkEnd w:id="203"/>
    <w:p>
      <w:pPr>
        <w:jc w:val="both"/>
        <w:ind w:firstLine="1304"/>
        <w:spacing w:after="0" w:line="268" w:lineRule="auto"/>
        <w:tabs>
          <w:tab w:leader="none" w:pos="1924"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later of (i) the date on which the Plan is approved by the stockholders of the Company in accordance with Section 13, and (ii) the day that is one day prior to the date of the closing of the transactions contemplated by that certain Agreement and Plan of Merger, dated as of [•], by and among the Company and the other parties thereto.</w:t>
      </w:r>
    </w:p>
    <w:p>
      <w:pPr>
        <w:spacing w:after="0" w:line="170" w:lineRule="exact"/>
        <w:rPr>
          <w:rFonts w:ascii="Times New Roman" w:cs="Times New Roman" w:eastAsia="Times New Roman" w:hAnsi="Times New Roman"/>
          <w:sz w:val="18"/>
          <w:szCs w:val="18"/>
          <w:b w:val="1"/>
          <w:bCs w:val="1"/>
          <w:color w:val="auto"/>
        </w:rPr>
      </w:pPr>
    </w:p>
    <w:p>
      <w:pPr>
        <w:ind w:right="20" w:firstLine="1304"/>
        <w:spacing w:after="0" w:line="286" w:lineRule="auto"/>
        <w:tabs>
          <w:tab w:leader="none" w:pos="1951"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1920" w:hanging="616"/>
        <w:spacing w:after="0"/>
        <w:tabs>
          <w:tab w:leader="none" w:pos="192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that employs the Participant.</w:t>
      </w:r>
    </w:p>
    <w:p>
      <w:pPr>
        <w:spacing w:after="0" w:line="225" w:lineRule="exact"/>
        <w:rPr>
          <w:rFonts w:ascii="Times New Roman" w:cs="Times New Roman" w:eastAsia="Times New Roman" w:hAnsi="Times New Roman"/>
          <w:sz w:val="18"/>
          <w:szCs w:val="18"/>
          <w:b w:val="1"/>
          <w:bCs w:val="1"/>
          <w:color w:val="auto"/>
        </w:rPr>
      </w:pPr>
    </w:p>
    <w:p>
      <w:pPr>
        <w:ind w:left="1920" w:hanging="616"/>
        <w:spacing w:after="0"/>
        <w:tabs>
          <w:tab w:leader="none" w:pos="192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2080" w:hanging="776"/>
        <w:spacing w:after="0"/>
        <w:tabs>
          <w:tab w:leader="none" w:pos="208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jc w:val="both"/>
        <w:ind w:firstLine="1304"/>
        <w:spacing w:after="0" w:line="255" w:lineRule="auto"/>
        <w:tabs>
          <w:tab w:leader="none" w:pos="2091"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4"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2084"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 (i)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(ii) if there is no closing sales price for the Common Stock on the date of determination, then the Fair Market Value will be the closing selling price on the last preceding date for which such quotation exists; or (iii) in the absence of such markets for the Common Stock, or if otherwise determined by the Board, the Fair Market Value will be determined by the Board in good faith and in a manner that complies with Sections 409A and 422 of the Code.</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203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U.S. or non-U.S. federal, state, local, municipal,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4" w:name="page205"/>
    <w:bookmarkEnd w:id="204"/>
    <w:p>
      <w:pPr>
        <w:jc w:val="both"/>
        <w:ind w:firstLine="1304"/>
        <w:spacing w:after="0" w:line="268" w:lineRule="auto"/>
        <w:tabs>
          <w:tab w:leader="none" w:pos="2016"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70" w:lineRule="exact"/>
        <w:rPr>
          <w:rFonts w:ascii="Times New Roman" w:cs="Times New Roman" w:eastAsia="Times New Roman" w:hAnsi="Times New Roman"/>
          <w:sz w:val="18"/>
          <w:szCs w:val="18"/>
          <w:b w:val="1"/>
          <w:bCs w:val="1"/>
          <w:color w:val="auto"/>
        </w:rPr>
      </w:pPr>
    </w:p>
    <w:p>
      <w:pPr>
        <w:ind w:right="20" w:firstLine="1304"/>
        <w:spacing w:after="0" w:line="286" w:lineRule="auto"/>
        <w:tabs>
          <w:tab w:leader="none" w:pos="1621"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976"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84"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996"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2016"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5" w:name="page206"/>
    <w:bookmarkEnd w:id="205"/>
    <w:p>
      <w:pPr>
        <w:ind w:left="1860" w:hanging="556"/>
        <w:spacing w:after="0"/>
        <w:tabs>
          <w:tab w:leader="none" w:pos="1860" w:val="left"/>
        </w:tabs>
        <w:numPr>
          <w:ilvl w:val="0"/>
          <w:numId w:val="2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Non-Exempt Director Award</w:t>
      </w:r>
      <w:r>
        <w:rPr>
          <w:rFonts w:ascii="Times New Roman" w:cs="Times New Roman" w:eastAsia="Times New Roman" w:hAnsi="Times New Roman"/>
          <w:sz w:val="17"/>
          <w:szCs w:val="17"/>
          <w:color w:val="auto"/>
        </w:rPr>
        <w:t>” means a Non-Exempt Award granted to a Participant who was a Director but not an Employee on</w:t>
      </w:r>
    </w:p>
    <w:p>
      <w:pPr>
        <w:spacing w:after="0" w:line="42"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applicable grant date.</w:t>
      </w:r>
    </w:p>
    <w:p>
      <w:pPr>
        <w:spacing w:after="0" w:line="202" w:lineRule="exact"/>
        <w:rPr>
          <w:rFonts w:ascii="Times New Roman" w:cs="Times New Roman" w:eastAsia="Times New Roman" w:hAnsi="Times New Roman"/>
          <w:sz w:val="17"/>
          <w:szCs w:val="17"/>
          <w:b w:val="1"/>
          <w:bCs w:val="1"/>
          <w:color w:val="auto"/>
        </w:rPr>
      </w:pPr>
    </w:p>
    <w:p>
      <w:pPr>
        <w:jc w:val="both"/>
        <w:ind w:firstLine="1304"/>
        <w:spacing w:after="0" w:line="259" w:lineRule="auto"/>
        <w:tabs>
          <w:tab w:leader="none" w:pos="2014"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Treasury Regulations Section 1.409A-1(b)(4), 1.409A-1(b)(9) or otherwise.</w:t>
      </w:r>
    </w:p>
    <w:p>
      <w:pPr>
        <w:spacing w:after="0" w:line="179" w:lineRule="exact"/>
        <w:rPr>
          <w:rFonts w:ascii="Times New Roman" w:cs="Times New Roman" w:eastAsia="Times New Roman" w:hAnsi="Times New Roman"/>
          <w:sz w:val="18"/>
          <w:szCs w:val="18"/>
          <w:b w:val="1"/>
          <w:bCs w:val="1"/>
          <w:color w:val="auto"/>
        </w:rPr>
      </w:pPr>
    </w:p>
    <w:p>
      <w:pPr>
        <w:ind w:left="2020" w:hanging="716"/>
        <w:spacing w:after="0"/>
        <w:tabs>
          <w:tab w:leader="none" w:pos="202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Option.</w:t>
      </w:r>
    </w:p>
    <w:p>
      <w:pPr>
        <w:spacing w:after="0" w:line="202" w:lineRule="exact"/>
        <w:rPr>
          <w:rFonts w:ascii="Times New Roman" w:cs="Times New Roman" w:eastAsia="Times New Roman" w:hAnsi="Times New Roman"/>
          <w:sz w:val="18"/>
          <w:szCs w:val="18"/>
          <w:b w:val="1"/>
          <w:bCs w:val="1"/>
          <w:color w:val="auto"/>
        </w:rPr>
      </w:pPr>
    </w:p>
    <w:p>
      <w:pPr>
        <w:ind w:left="1880" w:hanging="576"/>
        <w:spacing w:after="0"/>
        <w:tabs>
          <w:tab w:leader="none" w:pos="188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2060" w:hanging="756"/>
        <w:spacing w:after="0"/>
        <w:tabs>
          <w:tab w:leader="none" w:pos="206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Plan.</w:t>
      </w:r>
    </w:p>
    <w:p>
      <w:pPr>
        <w:spacing w:after="0" w:line="202"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841"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ind w:left="1920" w:hanging="616"/>
        <w:spacing w:after="0"/>
        <w:tabs>
          <w:tab w:leader="none" w:pos="192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outstanding Option.</w:t>
      </w:r>
    </w:p>
    <w:p>
      <w:pPr>
        <w:spacing w:after="0" w:line="202"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899"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Options, Nonstatutory Stock Option, SAR, Restricted Stock Award, or RSU Award.</w:t>
      </w:r>
    </w:p>
    <w:p>
      <w:pPr>
        <w:spacing w:after="0" w:line="170"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967"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31"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6" w:name="page207"/>
    <w:bookmarkEnd w:id="206"/>
    <w:p>
      <w:pPr>
        <w:ind w:firstLine="1304"/>
        <w:spacing w:after="0" w:line="286" w:lineRule="auto"/>
        <w:tabs>
          <w:tab w:leader="none" w:pos="1938"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154" w:lineRule="exact"/>
        <w:rPr>
          <w:rFonts w:ascii="Times New Roman" w:cs="Times New Roman" w:eastAsia="Times New Roman" w:hAnsi="Times New Roman"/>
          <w:sz w:val="18"/>
          <w:szCs w:val="18"/>
          <w:b w:val="1"/>
          <w:bCs w:val="1"/>
          <w:color w:val="auto"/>
        </w:rPr>
      </w:pPr>
    </w:p>
    <w:p>
      <w:pPr>
        <w:ind w:left="1900" w:hanging="596"/>
        <w:spacing w:after="0"/>
        <w:tabs>
          <w:tab w:leader="none" w:pos="190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Orchestra BioMed Holdings, Inc. 2022 Equity Incentive Plan, as amended from time to time.</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881"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day-to-day operations of the Plan and the Company’s other equity incentive programs.</w:t>
      </w:r>
    </w:p>
    <w:p>
      <w:pPr>
        <w:spacing w:after="0" w:line="154" w:lineRule="exact"/>
        <w:rPr>
          <w:rFonts w:ascii="Times New Roman" w:cs="Times New Roman" w:eastAsia="Times New Roman" w:hAnsi="Times New Roman"/>
          <w:sz w:val="18"/>
          <w:szCs w:val="18"/>
          <w:b w:val="1"/>
          <w:bCs w:val="1"/>
          <w:color w:val="auto"/>
        </w:rPr>
      </w:pPr>
    </w:p>
    <w:p>
      <w:pPr>
        <w:ind w:right="20" w:firstLine="1304"/>
        <w:spacing w:after="0" w:line="286" w:lineRule="auto"/>
        <w:tabs>
          <w:tab w:leader="none" w:pos="1848"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54" w:lineRule="exact"/>
        <w:rPr>
          <w:rFonts w:ascii="Times New Roman" w:cs="Times New Roman" w:eastAsia="Times New Roman" w:hAnsi="Times New Roman"/>
          <w:sz w:val="18"/>
          <w:szCs w:val="18"/>
          <w:b w:val="1"/>
          <w:bCs w:val="1"/>
          <w:color w:val="auto"/>
        </w:rPr>
      </w:pPr>
    </w:p>
    <w:p>
      <w:pPr>
        <w:ind w:left="1720" w:hanging="416"/>
        <w:spacing w:after="0"/>
        <w:tabs>
          <w:tab w:leader="none" w:pos="172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Company’s [•] Plan, as amended.</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granted pursuant to the terms and conditions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Section 5(a).</w:t>
      </w:r>
    </w:p>
    <w:p>
      <w:pPr>
        <w:spacing w:after="0" w:line="202" w:lineRule="exact"/>
        <w:rPr>
          <w:rFonts w:ascii="Times New Roman" w:cs="Times New Roman" w:eastAsia="Times New Roman" w:hAnsi="Times New Roman"/>
          <w:sz w:val="18"/>
          <w:szCs w:val="18"/>
          <w:b w:val="1"/>
          <w:bCs w:val="1"/>
          <w:color w:val="auto"/>
        </w:rPr>
      </w:pPr>
    </w:p>
    <w:p>
      <w:pPr>
        <w:jc w:val="both"/>
        <w:ind w:firstLine="1304"/>
        <w:spacing w:after="0" w:line="282" w:lineRule="auto"/>
        <w:tabs>
          <w:tab w:leader="none" w:pos="1641" w:val="left"/>
        </w:tabs>
        <w:numPr>
          <w:ilvl w:val="0"/>
          <w:numId w:val="2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Award Agreement</w:t>
      </w:r>
      <w:r>
        <w:rPr>
          <w:rFonts w:ascii="Times New Roman" w:cs="Times New Roman" w:eastAsia="Times New Roman" w:hAnsi="Times New Roman"/>
          <w:sz w:val="17"/>
          <w:szCs w:val="17"/>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61" w:lineRule="exact"/>
        <w:rPr>
          <w:rFonts w:ascii="Times New Roman" w:cs="Times New Roman" w:eastAsia="Times New Roman" w:hAnsi="Times New Roman"/>
          <w:sz w:val="17"/>
          <w:szCs w:val="17"/>
          <w:b w:val="1"/>
          <w:bCs w:val="1"/>
          <w:color w:val="auto"/>
        </w:rPr>
      </w:pPr>
    </w:p>
    <w:p>
      <w:pPr>
        <w:jc w:val="both"/>
        <w:ind w:firstLine="1304"/>
        <w:spacing w:after="0" w:line="259" w:lineRule="auto"/>
        <w:tabs>
          <w:tab w:leader="none" w:pos="162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79" w:lineRule="exact"/>
        <w:rPr>
          <w:sz w:val="20"/>
          <w:szCs w:val="20"/>
          <w:color w:val="auto"/>
        </w:rPr>
      </w:pPr>
    </w:p>
    <w:p>
      <w:pPr>
        <w:ind w:firstLine="1304"/>
        <w:spacing w:after="0" w:line="286" w:lineRule="auto"/>
        <w:tabs>
          <w:tab w:leader="none" w:pos="1758"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761"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agreement between the Company and a holder of a RSU Award evidencing the terms and conditions of a RSU Award.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7" w:name="page208"/>
    <w:bookmarkEnd w:id="207"/>
    <w:p>
      <w:pPr>
        <w:ind w:left="1720" w:hanging="416"/>
        <w:spacing w:after="0"/>
        <w:tabs>
          <w:tab w:leader="none" w:pos="1720"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left="1760" w:hanging="456"/>
        <w:spacing w:after="0"/>
        <w:tabs>
          <w:tab w:leader="none" w:pos="176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25" w:lineRule="exact"/>
        <w:rPr>
          <w:rFonts w:ascii="Times New Roman" w:cs="Times New Roman" w:eastAsia="Times New Roman" w:hAnsi="Times New Roman"/>
          <w:sz w:val="18"/>
          <w:szCs w:val="18"/>
          <w:b w:val="1"/>
          <w:bCs w:val="1"/>
          <w:color w:val="auto"/>
        </w:rPr>
      </w:pPr>
    </w:p>
    <w:p>
      <w:pPr>
        <w:ind w:left="1700" w:hanging="396"/>
        <w:spacing w:after="0"/>
        <w:tabs>
          <w:tab w:leader="none" w:pos="170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64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70" w:lineRule="exact"/>
        <w:rPr>
          <w:rFonts w:ascii="Times New Roman" w:cs="Times New Roman" w:eastAsia="Times New Roman" w:hAnsi="Times New Roman"/>
          <w:sz w:val="18"/>
          <w:szCs w:val="18"/>
          <w:b w:val="1"/>
          <w:bCs w:val="1"/>
          <w:color w:val="auto"/>
        </w:rPr>
      </w:pPr>
    </w:p>
    <w:p>
      <w:pPr>
        <w:ind w:left="1740" w:hanging="436"/>
        <w:spacing w:after="0"/>
        <w:tabs>
          <w:tab w:leader="none" w:pos="174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1760" w:hanging="456"/>
        <w:spacing w:after="0"/>
        <w:tabs>
          <w:tab w:leader="none" w:pos="176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881"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64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76"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1761"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Common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638"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54"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937"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8" w:name="page209"/>
    <w:bookmarkEnd w:id="208"/>
    <w:p>
      <w:pPr>
        <w:ind w:left="-20" w:firstLine="1304"/>
        <w:spacing w:after="0" w:line="286" w:lineRule="auto"/>
        <w:tabs>
          <w:tab w:leader="none" w:pos="1754"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154" w:lineRule="exact"/>
        <w:rPr>
          <w:rFonts w:ascii="Times New Roman" w:cs="Times New Roman" w:eastAsia="Times New Roman" w:hAnsi="Times New Roman"/>
          <w:sz w:val="18"/>
          <w:szCs w:val="18"/>
          <w:b w:val="1"/>
          <w:bCs w:val="1"/>
          <w:color w:val="auto"/>
        </w:rPr>
      </w:pPr>
    </w:p>
    <w:p>
      <w:pPr>
        <w:ind w:left="-20" w:firstLine="1304"/>
        <w:spacing w:after="0" w:line="286" w:lineRule="auto"/>
        <w:tabs>
          <w:tab w:leader="none" w:pos="2021"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 PURCHASE AGREEMENT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This Forward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 2022, by and among Health Sciences Acquisitions Corporation 2, a Cayman Islands exempted company (which shall deregister in the Cayman Islands and domesticate as a Delaware corporation prior to the Merger Closing,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Orchestra BioMed,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Covidien Group S.à.r.l. (the “</w:t>
      </w:r>
      <w:r>
        <w:rPr>
          <w:rFonts w:ascii="Times New Roman" w:cs="Times New Roman" w:eastAsia="Times New Roman" w:hAnsi="Times New Roman"/>
          <w:sz w:val="18"/>
          <w:szCs w:val="18"/>
          <w:u w:val="single" w:color="auto"/>
          <w:color w:val="auto"/>
        </w:rPr>
        <w:t>Purchasing Party</w:t>
      </w:r>
      <w:r>
        <w:rPr>
          <w:rFonts w:ascii="Times New Roman" w:cs="Times New Roman" w:eastAsia="Times New Roman" w:hAnsi="Times New Roman"/>
          <w:sz w:val="18"/>
          <w:szCs w:val="18"/>
          <w:color w:val="auto"/>
        </w:rPr>
        <w:t>”). Capitalized terms used but not defined in this Agreement shall have the meanings ascribed to such terms in that certain Agreement and Plan of Merger, dated as of the date of this Agreement, by and among Parent, the Company and HSAC Olympus Merger Sub, Inc.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WHEREAS, in connection with the Closing under the Merger Agreement (the “</w:t>
      </w:r>
      <w:r>
        <w:rPr>
          <w:rFonts w:ascii="Times New Roman" w:cs="Times New Roman" w:eastAsia="Times New Roman" w:hAnsi="Times New Roman"/>
          <w:sz w:val="18"/>
          <w:szCs w:val="18"/>
          <w:u w:val="single" w:color="auto"/>
          <w:color w:val="auto"/>
        </w:rPr>
        <w:t>Merger Closing</w:t>
      </w:r>
      <w:r>
        <w:rPr>
          <w:rFonts w:ascii="Times New Roman" w:cs="Times New Roman" w:eastAsia="Times New Roman" w:hAnsi="Times New Roman"/>
          <w:sz w:val="18"/>
          <w:szCs w:val="18"/>
          <w:color w:val="auto"/>
        </w:rPr>
        <w:t>”), the Purchasing Party wishes to purchase, up to 1,000,000 Parent Ordinary Shares on the terms and conditions set forth herein; and</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representations, warranties and the mutual covenants contained in this Agreement, and for other good and valuable consideration, the receipt, sufficiency and adequacy of which are hereby acknowledged, the parties hereto agree as follows:</w:t>
      </w:r>
    </w:p>
    <w:p>
      <w:pPr>
        <w:spacing w:after="0" w:line="158" w:lineRule="exact"/>
        <w:rPr>
          <w:sz w:val="20"/>
          <w:szCs w:val="20"/>
          <w:color w:val="auto"/>
        </w:rPr>
      </w:pPr>
    </w:p>
    <w:p>
      <w:pPr>
        <w:ind w:right="120" w:firstLine="656"/>
        <w:spacing w:after="0" w:line="256" w:lineRule="auto"/>
        <w:tabs>
          <w:tab w:leader="none" w:pos="1278"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Forward Purchase Shares. </w:t>
      </w:r>
      <w:r>
        <w:rPr>
          <w:rFonts w:ascii="Times New Roman" w:cs="Times New Roman" w:eastAsia="Times New Roman" w:hAnsi="Times New Roman"/>
          <w:sz w:val="18"/>
          <w:szCs w:val="18"/>
          <w:color w:val="auto"/>
        </w:rPr>
        <w:t>Parent shall issue and sell to the Purchasing Party, and the Purchasing Party shall purchase from Parent,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Parent Ordinary Shares (the “</w:t>
      </w:r>
      <w:r>
        <w:rPr>
          <w:rFonts w:ascii="Times New Roman" w:cs="Times New Roman" w:eastAsia="Times New Roman" w:hAnsi="Times New Roman"/>
          <w:sz w:val="18"/>
          <w:szCs w:val="18"/>
          <w:u w:val="single" w:color="auto"/>
          <w:color w:val="auto"/>
        </w:rPr>
        <w:t>Forward Purchase Shares</w:t>
      </w:r>
      <w:r>
        <w:rPr>
          <w:rFonts w:ascii="Times New Roman" w:cs="Times New Roman" w:eastAsia="Times New Roman" w:hAnsi="Times New Roman"/>
          <w:sz w:val="18"/>
          <w:szCs w:val="18"/>
          <w:color w:val="auto"/>
        </w:rPr>
        <w:t xml:space="preserve">”) equal to (a) (i) $10,000,000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aggregate dollar amount paid by the Purchasing Party to purchase Parent Ordinary Shares having redemption rights following the date hereof until immediately prior to the Share Purchase Closing that the Purchasing Party continues to directly own at such time (the “</w:t>
      </w:r>
      <w:r>
        <w:rPr>
          <w:rFonts w:ascii="Times New Roman" w:cs="Times New Roman" w:eastAsia="Times New Roman" w:hAnsi="Times New Roman"/>
          <w:sz w:val="18"/>
          <w:szCs w:val="18"/>
          <w:u w:val="single" w:color="auto"/>
          <w:color w:val="auto"/>
        </w:rPr>
        <w:t>Market Transaction Shares</w:t>
      </w:r>
      <w:r>
        <w:rPr>
          <w:rFonts w:ascii="Times New Roman" w:cs="Times New Roman" w:eastAsia="Times New Roman" w:hAnsi="Times New Roman"/>
          <w:sz w:val="18"/>
          <w:szCs w:val="18"/>
          <w:color w:val="auto"/>
        </w:rPr>
        <w:t>”), divided by (b) $10.00 (the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For the avoidance of doubt, in no event shall the aggregate amount of funds received by Parent in respect of the Forward Purchase Shares, when taken together with funds that continue to be held in the Trust Account at the Merger Closing in respect of the Market Transaction Shares, be less than $10,000,000.</w:t>
      </w:r>
    </w:p>
    <w:p>
      <w:pPr>
        <w:spacing w:after="0" w:line="182" w:lineRule="exact"/>
        <w:rPr>
          <w:rFonts w:ascii="Times New Roman" w:cs="Times New Roman" w:eastAsia="Times New Roman" w:hAnsi="Times New Roman"/>
          <w:sz w:val="18"/>
          <w:szCs w:val="18"/>
          <w:b w:val="1"/>
          <w:bCs w:val="1"/>
          <w:color w:val="auto"/>
        </w:rPr>
      </w:pPr>
    </w:p>
    <w:p>
      <w:pPr>
        <w:ind w:left="1280" w:hanging="624"/>
        <w:spacing w:after="0"/>
        <w:tabs>
          <w:tab w:leader="none" w:pos="1280"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Purchase Closing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20" w:firstLine="1304"/>
        <w:spacing w:after="0" w:line="258" w:lineRule="auto"/>
        <w:tabs>
          <w:tab w:leader="none" w:pos="190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closing of the sale of the Forward Purchase Shares, if any (the “</w:t>
      </w:r>
      <w:r>
        <w:rPr>
          <w:rFonts w:ascii="Times New Roman" w:cs="Times New Roman" w:eastAsia="Times New Roman" w:hAnsi="Times New Roman"/>
          <w:sz w:val="18"/>
          <w:szCs w:val="18"/>
          <w:u w:val="single" w:color="auto"/>
          <w:color w:val="auto"/>
        </w:rPr>
        <w:t>Share Purchase Closing</w:t>
      </w:r>
      <w:r>
        <w:rPr>
          <w:rFonts w:ascii="Times New Roman" w:cs="Times New Roman" w:eastAsia="Times New Roman" w:hAnsi="Times New Roman"/>
          <w:sz w:val="18"/>
          <w:szCs w:val="18"/>
          <w:color w:val="auto"/>
        </w:rPr>
        <w:t xml:space="preserve">”), shall be held on the Closing Date, immediately prior to the Domestication. At the Share Purchase Closing, Parent will issue to the Purchasing Party the Forward Shares against (and concurrently with) the payment to Parent by the Purchasing Party of an amount equal to the product of (i) the number of Forward Purchase Shares, multiplied by (ii) the Per Share Price. All payments required to be made to Parent by the Purchasing Party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shall be made by wire transfer of immediately available funds pursuant to written instructions provided by Parent to the Purchasing Party.</w:t>
      </w:r>
    </w:p>
    <w:p>
      <w:pPr>
        <w:spacing w:after="0" w:line="183"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Forward Purchase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952"/>
        <w:spacing w:after="0" w:line="312" w:lineRule="auto"/>
        <w:tabs>
          <w:tab w:leader="none" w:pos="2429" w:val="left"/>
        </w:tabs>
        <w:numPr>
          <w:ilvl w:val="2"/>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register the Purchasing Party as the owner of the Forward Purchase Shares on Parent’s share register and with Parent’s transfer agent by book entry on or promptly after (but in no event more than two (2) Business Days after) the date of the Share Purchase Closing.</w:t>
      </w:r>
    </w:p>
    <w:p>
      <w:pPr>
        <w:spacing w:after="0" w:line="139" w:lineRule="exact"/>
        <w:rPr>
          <w:rFonts w:ascii="Times New Roman" w:cs="Times New Roman" w:eastAsia="Times New Roman" w:hAnsi="Times New Roman"/>
          <w:sz w:val="17"/>
          <w:szCs w:val="17"/>
          <w:color w:val="auto"/>
        </w:rPr>
      </w:pPr>
    </w:p>
    <w:p>
      <w:pPr>
        <w:ind w:right="500" w:firstLine="1952"/>
        <w:spacing w:after="0" w:line="282" w:lineRule="auto"/>
        <w:tabs>
          <w:tab w:leader="none" w:pos="2479"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register and book entry for the Forward Purchase Shares shall contain a notation, and each certificate (if any) evidencing the Forward Purchase Shares shall be stamped or otherwise imprinted with a legend, in substantially the following form:</w:t>
      </w:r>
    </w:p>
    <w:p>
      <w:pPr>
        <w:spacing w:after="0" w:line="162" w:lineRule="exact"/>
        <w:rPr>
          <w:sz w:val="20"/>
          <w:szCs w:val="20"/>
          <w:color w:val="auto"/>
        </w:rPr>
      </w:pPr>
    </w:p>
    <w:p>
      <w:pPr>
        <w:ind w:left="660" w:right="540"/>
        <w:spacing w:after="0" w:line="266"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U.S. SECURITIES ACT OF 1933, AS AMENDED, OR THE SECURITIES LAWS OF ANY STATE OR OTHER JURISDICTION, AND MAY NOT BE TRANSFERRED IN VIOLATION OF SUCH ACT AND LAWS.</w:t>
      </w:r>
    </w:p>
    <w:p>
      <w:pPr>
        <w:spacing w:after="0" w:line="176" w:lineRule="exact"/>
        <w:rPr>
          <w:sz w:val="20"/>
          <w:szCs w:val="20"/>
          <w:color w:val="auto"/>
        </w:rPr>
      </w:pPr>
    </w:p>
    <w:p>
      <w:pPr>
        <w:ind w:right="280" w:firstLine="1304"/>
        <w:spacing w:after="0" w:line="289" w:lineRule="auto"/>
        <w:tabs>
          <w:tab w:leader="none" w:pos="1901"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sales permitted pursuant to Rule 144 promulgated under the Exchange Act, if required by Parent’s transfer agent, Parent will promptly cause an opinion of counsel to be delivered to its transfer agent, together with any other authorizations, certificates and directions required by the transfer agent that authorize and direct the transfer agent to transfer such Forward Purchase Shares without any such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0" w:name="page211"/>
    <w:bookmarkEnd w:id="210"/>
    <w:p>
      <w:pPr>
        <w:jc w:val="both"/>
        <w:ind w:left="-656" w:firstLine="1304"/>
        <w:spacing w:after="0" w:line="261" w:lineRule="auto"/>
        <w:tabs>
          <w:tab w:leader="none" w:pos="1165"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 Purchasing Party shall have registration rights with respect to their Forward Purchase Shares as set forth in the Registration Rights Agreement that will be entered into by and among Parent, the Purchasing Party, the Company and certain other parties thereto in connection with the consummation of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and the form of which is attached to the Merger Agreement as Exhibit C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56" w:right="120" w:firstLine="1304"/>
        <w:spacing w:after="0" w:line="266" w:lineRule="auto"/>
        <w:tabs>
          <w:tab w:leader="none" w:pos="115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Notional Amounts</w:t>
      </w:r>
      <w:r>
        <w:rPr>
          <w:rFonts w:ascii="Times New Roman" w:cs="Times New Roman" w:eastAsia="Times New Roman" w:hAnsi="Times New Roman"/>
          <w:sz w:val="18"/>
          <w:szCs w:val="18"/>
          <w:color w:val="auto"/>
        </w:rPr>
        <w:t>. In the event of any change to the capital structure of Parent, whether dilutive or otherwise, by way of a share dividend, share split, or any other similar transaction however described, the number of Forward Purchase Shares, and/or the Per Share Price, as applicable, will be adjusted as necessary to account for such changes.</w:t>
      </w:r>
    </w:p>
    <w:p>
      <w:pPr>
        <w:spacing w:after="0" w:line="171" w:lineRule="exact"/>
        <w:rPr>
          <w:rFonts w:ascii="Times New Roman" w:cs="Times New Roman" w:eastAsia="Times New Roman" w:hAnsi="Times New Roman"/>
          <w:sz w:val="18"/>
          <w:szCs w:val="18"/>
          <w:color w:val="auto"/>
        </w:rPr>
      </w:pPr>
    </w:p>
    <w:p>
      <w:pPr>
        <w:ind w:left="-656" w:right="140" w:firstLine="656"/>
        <w:spacing w:after="0" w:line="286" w:lineRule="auto"/>
        <w:tabs>
          <w:tab w:leader="none" w:pos="622"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Purchasing Party</w:t>
      </w:r>
      <w:r>
        <w:rPr>
          <w:rFonts w:ascii="Times New Roman" w:cs="Times New Roman" w:eastAsia="Times New Roman" w:hAnsi="Times New Roman"/>
          <w:sz w:val="18"/>
          <w:szCs w:val="18"/>
          <w:color w:val="auto"/>
        </w:rPr>
        <w:t>. The Purchasing Party represents and warrants, severally and not jointly,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Parent and the Company as follows:</w:t>
      </w:r>
    </w:p>
    <w:p>
      <w:pPr>
        <w:spacing w:after="0" w:line="158" w:lineRule="exact"/>
        <w:rPr>
          <w:rFonts w:ascii="Times New Roman" w:cs="Times New Roman" w:eastAsia="Times New Roman" w:hAnsi="Times New Roman"/>
          <w:sz w:val="18"/>
          <w:szCs w:val="18"/>
          <w:b w:val="1"/>
          <w:bCs w:val="1"/>
          <w:color w:val="auto"/>
        </w:rPr>
      </w:pPr>
    </w:p>
    <w:p>
      <w:pPr>
        <w:ind w:left="-656" w:right="320" w:firstLine="1304"/>
        <w:spacing w:after="0" w:line="282" w:lineRule="auto"/>
        <w:tabs>
          <w:tab w:leader="none" w:pos="115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The Purchasing Party is duly organized, validly existing, and in good standing under the Laws of the jurisdiction of its formation and has all requisite power and authority to carry on its business as presently conducted and as proposed to be conducted.</w:t>
      </w:r>
    </w:p>
    <w:p>
      <w:pPr>
        <w:spacing w:after="0" w:line="161" w:lineRule="exact"/>
        <w:rPr>
          <w:rFonts w:ascii="Times New Roman" w:cs="Times New Roman" w:eastAsia="Times New Roman" w:hAnsi="Times New Roman"/>
          <w:sz w:val="18"/>
          <w:szCs w:val="18"/>
          <w:color w:val="auto"/>
        </w:rPr>
      </w:pPr>
    </w:p>
    <w:p>
      <w:pPr>
        <w:ind w:left="-656" w:firstLine="1304"/>
        <w:spacing w:after="0" w:line="256" w:lineRule="auto"/>
        <w:tabs>
          <w:tab w:leader="none" w:pos="1165"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Purchasing Party has full power and authority to enter into this Agreement. This Agreement, when executed and delivered by the Purchasing Party, will constitute the valid and legally binding obligation of Purchasing Party, enforceable in accordance with its terms, except (i) as limited by applicable bankruptcy, insolvency, reorganization, moratorium, fraudulent conveyance and any other Laws of general application affecting enforcement of creditors’ rights generally, (ii) as limited by Laws relating to the availability of specific performance, injunctive relief or other equitable remedies, or (iii) to the extent the indemnification provisions contained in the Registration Rights Agreement may be limited by applicable federal or state securities Laws.</w:t>
      </w:r>
    </w:p>
    <w:p>
      <w:pPr>
        <w:spacing w:after="0" w:line="187" w:lineRule="exact"/>
        <w:rPr>
          <w:rFonts w:ascii="Times New Roman" w:cs="Times New Roman" w:eastAsia="Times New Roman" w:hAnsi="Times New Roman"/>
          <w:sz w:val="18"/>
          <w:szCs w:val="18"/>
          <w:color w:val="auto"/>
        </w:rPr>
      </w:pPr>
    </w:p>
    <w:p>
      <w:pPr>
        <w:ind w:left="-656" w:right="280" w:firstLine="1304"/>
        <w:spacing w:after="0" w:line="266" w:lineRule="auto"/>
        <w:tabs>
          <w:tab w:leader="none" w:pos="115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Consents and Filings</w:t>
      </w:r>
      <w:r>
        <w:rPr>
          <w:rFonts w:ascii="Times New Roman" w:cs="Times New Roman" w:eastAsia="Times New Roman" w:hAnsi="Times New Roman"/>
          <w:sz w:val="18"/>
          <w:szCs w:val="18"/>
          <w:color w:val="auto"/>
        </w:rPr>
        <w:t>. No consent, approval, order or authorization of, or registration, qualification, designation, declaration or filing with, any federal, state or local governmental authority is required on the part of the Purchasing Party in connection with the consummation of the transactions contemplated by this Agreement.</w:t>
      </w:r>
    </w:p>
    <w:p>
      <w:pPr>
        <w:spacing w:after="0" w:line="175" w:lineRule="exact"/>
        <w:rPr>
          <w:rFonts w:ascii="Times New Roman" w:cs="Times New Roman" w:eastAsia="Times New Roman" w:hAnsi="Times New Roman"/>
          <w:sz w:val="18"/>
          <w:szCs w:val="18"/>
          <w:color w:val="auto"/>
        </w:rPr>
      </w:pPr>
    </w:p>
    <w:p>
      <w:pPr>
        <w:ind w:left="-656" w:right="60" w:firstLine="1304"/>
        <w:spacing w:after="0" w:line="256" w:lineRule="auto"/>
        <w:tabs>
          <w:tab w:leader="none" w:pos="1165"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execution, delivery and performance by the Purchasing Party of this Agreement and the consummation by the Purchasing Party of the transactions contemplated by this Agreement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 (v) of any provision of federal or state statute, rule or regulation applicable to the Purchasing Party, in each case (other than clause (i)), which would have a material adverse effect on the Purchasing Party or its ability to consummate the transactions contemplated by this Agreement.</w:t>
      </w:r>
    </w:p>
    <w:p>
      <w:pPr>
        <w:spacing w:after="0" w:line="187" w:lineRule="exact"/>
        <w:rPr>
          <w:rFonts w:ascii="Times New Roman" w:cs="Times New Roman" w:eastAsia="Times New Roman" w:hAnsi="Times New Roman"/>
          <w:sz w:val="18"/>
          <w:szCs w:val="18"/>
          <w:color w:val="auto"/>
        </w:rPr>
      </w:pPr>
    </w:p>
    <w:p>
      <w:pPr>
        <w:ind w:left="-656" w:right="40" w:firstLine="1304"/>
        <w:spacing w:after="0" w:line="255" w:lineRule="auto"/>
        <w:tabs>
          <w:tab w:leader="none" w:pos="115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Purchasing Party in reliance upon the Purchasing Party’s representation to Parent, which by the Purchasing Party’s execution of this Agreement, the Purchasing Party hereby confirms, that the Forward Purchase Shares to be acquired by the Purchasing Party will be acquired for investment for the Purchasing Party’s own account, not as a nominee or agent, and not with a view to the resale or distribution of any part thereof, and that the Purchasing Party has no present intention of selling, granting any participation in, or otherwise distributing the same in violation of Law. By executing this Agreement, the Purchasing Party further represents that the Purchasing Party does not presently have any contract, undertaking, agreement or arrangement with any Person to sell, transfer or grant participations to such Person or to any third Person, with respect to any of the Forward Purchase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431165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7" w:right="359" w:bottom="1440" w:gutter="0" w:footer="0" w:header="0"/>
        </w:sectPr>
      </w:pPr>
    </w:p>
    <w:bookmarkStart w:id="211" w:name="page212"/>
    <w:bookmarkEnd w:id="211"/>
    <w:p>
      <w:pPr>
        <w:ind w:right="220" w:firstLine="1304"/>
        <w:spacing w:after="0" w:line="266" w:lineRule="auto"/>
        <w:tabs>
          <w:tab w:leader="none" w:pos="179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The Purchasing Party has had an opportunity to discuss Parent’s existing and planned or expected business, management, financial affairs and the terms and conditions of the purchase and sale of the Forward Purchase Shares, as well as the terms of the Transactions, with Parent’s management.</w:t>
      </w:r>
    </w:p>
    <w:p>
      <w:pPr>
        <w:spacing w:after="0" w:line="175" w:lineRule="exact"/>
        <w:rPr>
          <w:rFonts w:ascii="Times New Roman" w:cs="Times New Roman" w:eastAsia="Times New Roman" w:hAnsi="Times New Roman"/>
          <w:sz w:val="18"/>
          <w:szCs w:val="18"/>
          <w:color w:val="auto"/>
        </w:rPr>
      </w:pPr>
    </w:p>
    <w:p>
      <w:pPr>
        <w:ind w:right="20" w:firstLine="1304"/>
        <w:spacing w:after="0" w:line="253" w:lineRule="auto"/>
        <w:tabs>
          <w:tab w:leader="none" w:pos="182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Forward Purchase Shares</w:t>
      </w:r>
      <w:r>
        <w:rPr>
          <w:rFonts w:ascii="Times New Roman" w:cs="Times New Roman" w:eastAsia="Times New Roman" w:hAnsi="Times New Roman"/>
          <w:sz w:val="18"/>
          <w:szCs w:val="18"/>
          <w:color w:val="auto"/>
        </w:rPr>
        <w:t>. The Purchasing Party understands that the offer and sale of the Forward Purchase Shares to the Purchasing Party has not been, and will not be, registered under the Securities Act, by reason of a specific exemption from the registration provisions of the Securities Act which depends upon, among other things, the bona fide nature of the investment intent and the accuracy of the Purchasing Party’s representations as expressed herein. The Purchasing Party understands that the Forward Purchase Shares are “restricted securities” under applicable U.S. federal and state securities Laws and that, pursuant to these Laws, the Purchasing Party must hold the Forward Purchase Shares indefinitely unless they are registered with the SEC and qualified by state authorities, or an exemption from such registration and qualification requirements is available. The Purchasing Party acknowledges that Parent has no obligation to register or qualify the Forward Purchase Shares, or any securities into which the Forward Purchase Shares may be converted into or exercised for, for resale, except pursuant to the Registration Rights Agreement. The Purchasing Party further acknowledges that if an exemption from registration or qualification is available, it may be conditioned on various requirements including, but not limited to, the time and manner of sale, the holding period for the Forward Purchase Shares, and on requirements relating to Parent which are outside of the Purchasing Party’s control, and which Parent is under no obligation and may not be able to satisfy.</w:t>
      </w:r>
    </w:p>
    <w:p>
      <w:pPr>
        <w:spacing w:after="0" w:line="191" w:lineRule="exact"/>
        <w:rPr>
          <w:rFonts w:ascii="Times New Roman" w:cs="Times New Roman" w:eastAsia="Times New Roman" w:hAnsi="Times New Roman"/>
          <w:sz w:val="18"/>
          <w:szCs w:val="18"/>
          <w:color w:val="auto"/>
        </w:rPr>
      </w:pPr>
    </w:p>
    <w:p>
      <w:pPr>
        <w:ind w:right="260" w:firstLine="1304"/>
        <w:spacing w:after="0" w:line="282" w:lineRule="auto"/>
        <w:tabs>
          <w:tab w:leader="none" w:pos="182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High Degree of Risk</w:t>
      </w:r>
      <w:r>
        <w:rPr>
          <w:rFonts w:ascii="Times New Roman" w:cs="Times New Roman" w:eastAsia="Times New Roman" w:hAnsi="Times New Roman"/>
          <w:sz w:val="18"/>
          <w:szCs w:val="18"/>
          <w:color w:val="auto"/>
        </w:rPr>
        <w:t>. The Purchasing Party understands that its agreement to purchase the Forward Purchase Shares involves a high degree of risk, which could cause the Purchasing Party to lose all or part of its investment.</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Purchasing Party is an “accredited investor” as defined in Rule 501(a) of Regulation D promulgated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w:t>
      </w:r>
    </w:p>
    <w:p>
      <w:pPr>
        <w:spacing w:after="0" w:line="206" w:lineRule="exact"/>
        <w:rPr>
          <w:rFonts w:ascii="Times New Roman" w:cs="Times New Roman" w:eastAsia="Times New Roman" w:hAnsi="Times New Roman"/>
          <w:sz w:val="18"/>
          <w:szCs w:val="18"/>
          <w:color w:val="auto"/>
        </w:rPr>
      </w:pPr>
    </w:p>
    <w:p>
      <w:pPr>
        <w:ind w:firstLine="1304"/>
        <w:spacing w:after="0" w:line="266" w:lineRule="auto"/>
        <w:tabs>
          <w:tab w:leader="none" w:pos="178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Purchasing Party, nor any of its officers, directors, employees, agents, stockholders or partners has either directly or indirectly, including, through a broker or finder (i) to its knowledge, engaged in any general solicitation, or (ii) published any advertisement in connection with the purchase and sale of the Forward Purchase Shares.</w:t>
      </w:r>
    </w:p>
    <w:p>
      <w:pPr>
        <w:spacing w:after="0" w:line="175" w:lineRule="exact"/>
        <w:rPr>
          <w:rFonts w:ascii="Times New Roman" w:cs="Times New Roman" w:eastAsia="Times New Roman" w:hAnsi="Times New Roman"/>
          <w:sz w:val="18"/>
          <w:szCs w:val="18"/>
          <w:color w:val="auto"/>
        </w:rPr>
      </w:pPr>
    </w:p>
    <w:p>
      <w:pPr>
        <w:ind w:right="140" w:firstLine="1304"/>
        <w:spacing w:after="0" w:line="282" w:lineRule="auto"/>
        <w:tabs>
          <w:tab w:leader="none" w:pos="182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The Purchasing Party acknowledges its obligations under applicable securities Laws with respect to the treatment of material non-public information relating to Parent.</w:t>
      </w:r>
    </w:p>
    <w:p>
      <w:pPr>
        <w:spacing w:after="0" w:line="161" w:lineRule="exact"/>
        <w:rPr>
          <w:rFonts w:ascii="Times New Roman" w:cs="Times New Roman" w:eastAsia="Times New Roman" w:hAnsi="Times New Roman"/>
          <w:sz w:val="18"/>
          <w:szCs w:val="18"/>
          <w:color w:val="auto"/>
        </w:rPr>
      </w:pPr>
    </w:p>
    <w:p>
      <w:pPr>
        <w:ind w:right="120" w:firstLine="1304"/>
        <w:spacing w:after="0" w:line="282" w:lineRule="auto"/>
        <w:tabs>
          <w:tab w:leader="none" w:pos="178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Adequacy of Financing</w:t>
      </w:r>
      <w:r>
        <w:rPr>
          <w:rFonts w:ascii="Times New Roman" w:cs="Times New Roman" w:eastAsia="Times New Roman" w:hAnsi="Times New Roman"/>
          <w:sz w:val="18"/>
          <w:szCs w:val="18"/>
          <w:color w:val="auto"/>
        </w:rPr>
        <w:t>. The Purchasing Party will have at the Share Purchase Closing available to it sufficient funds to satisfy its obligations under this Agreement.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87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Affiliation of Certain FINRA Members</w:t>
      </w:r>
      <w:r>
        <w:rPr>
          <w:rFonts w:ascii="Times New Roman" w:cs="Times New Roman" w:eastAsia="Times New Roman" w:hAnsi="Times New Roman"/>
          <w:sz w:val="18"/>
          <w:szCs w:val="18"/>
          <w:color w:val="auto"/>
        </w:rPr>
        <w:t>. The Purchasing Party is neither a person associated nor affiliated with any underwriter of the IPO or, to its actual knowledge, any other member of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that participated in the IPO.</w:t>
      </w:r>
    </w:p>
    <w:p>
      <w:pPr>
        <w:spacing w:after="0" w:line="161" w:lineRule="exact"/>
        <w:rPr>
          <w:rFonts w:ascii="Times New Roman" w:cs="Times New Roman" w:eastAsia="Times New Roman" w:hAnsi="Times New Roman"/>
          <w:sz w:val="18"/>
          <w:szCs w:val="18"/>
          <w:color w:val="auto"/>
        </w:rPr>
      </w:pPr>
    </w:p>
    <w:p>
      <w:pPr>
        <w:ind w:right="80" w:firstLine="1304"/>
        <w:spacing w:after="0" w:line="282" w:lineRule="auto"/>
        <w:tabs>
          <w:tab w:leader="none" w:pos="182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Finder’s Fees</w:t>
      </w:r>
      <w:r>
        <w:rPr>
          <w:rFonts w:ascii="Times New Roman" w:cs="Times New Roman" w:eastAsia="Times New Roman" w:hAnsi="Times New Roman"/>
          <w:sz w:val="18"/>
          <w:szCs w:val="18"/>
          <w:color w:val="auto"/>
        </w:rPr>
        <w:t>. The Purchasing Party is not and will not be obligated for any finder’s fee or commission in connection with the transactions contemplated by this Agreement.</w:t>
      </w:r>
    </w:p>
    <w:p>
      <w:pPr>
        <w:spacing w:after="0" w:line="161" w:lineRule="exact"/>
        <w:rPr>
          <w:rFonts w:ascii="Times New Roman" w:cs="Times New Roman" w:eastAsia="Times New Roman" w:hAnsi="Times New Roman"/>
          <w:sz w:val="18"/>
          <w:szCs w:val="18"/>
          <w:color w:val="auto"/>
        </w:rPr>
      </w:pPr>
    </w:p>
    <w:p>
      <w:pPr>
        <w:ind w:right="40" w:firstLine="1304"/>
        <w:spacing w:after="0" w:line="256" w:lineRule="auto"/>
        <w:tabs>
          <w:tab w:leader="none" w:pos="186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Purchasing Party, nor any director, officer, agent, employee or other Person acting on behalf of the Purchasing Party has, in the course of its actions for, or on behalf of, the Purchasing Party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unlawful bribe, rebate, payoff, influence payment, kickback or other unlawful payment to any foreign or domestic government official 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2" w:name="page213"/>
    <w:bookmarkEnd w:id="212"/>
    <w:p>
      <w:pPr>
        <w:ind w:left="-656" w:right="120" w:firstLine="1304"/>
        <w:spacing w:after="0" w:line="255" w:lineRule="auto"/>
        <w:tabs>
          <w:tab w:leader="none" w:pos="130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Anti-Money Laundering Laws</w:t>
      </w:r>
      <w:r>
        <w:rPr>
          <w:rFonts w:ascii="Times New Roman" w:cs="Times New Roman" w:eastAsia="Times New Roman" w:hAnsi="Times New Roman"/>
          <w:sz w:val="18"/>
          <w:szCs w:val="18"/>
          <w:color w:val="auto"/>
        </w:rPr>
        <w:t>. The operations of the Purchasing Party are and have been conducted at all times in compliance with applicable financial recordkeeping and reporting requirements and all other applicable U.S. and non-U.S. anti-money laundering Laws and regulations, including, but not limited to, those of the Currency and Foreign Transactions Reporting Act of 1970, as amended, the USA PATRIOT Act of 2001 and the applicable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Purchasing Party with respect to the Anti-Money Laundering Laws is pending or, to the knowledge of the Purchasing Party, threatened.</w:t>
      </w:r>
    </w:p>
    <w:p>
      <w:pPr>
        <w:spacing w:after="0" w:line="188" w:lineRule="exact"/>
        <w:rPr>
          <w:rFonts w:ascii="Times New Roman" w:cs="Times New Roman" w:eastAsia="Times New Roman" w:hAnsi="Times New Roman"/>
          <w:sz w:val="18"/>
          <w:szCs w:val="18"/>
          <w:color w:val="auto"/>
        </w:rPr>
      </w:pPr>
    </w:p>
    <w:p>
      <w:pPr>
        <w:ind w:left="-656" w:firstLine="1304"/>
        <w:spacing w:after="0" w:line="254" w:lineRule="auto"/>
        <w:tabs>
          <w:tab w:leader="none" w:pos="130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and Warranties; Non-Reliance</w:t>
      </w:r>
      <w:r>
        <w:rPr>
          <w:rFonts w:ascii="Times New Roman" w:cs="Times New Roman" w:eastAsia="Times New Roman" w:hAnsi="Times New Roman"/>
          <w:sz w:val="18"/>
          <w:szCs w:val="18"/>
          <w:color w:val="auto"/>
        </w:rPr>
        <w:t xml:space="preserve">. Except for the specific representations and warranties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in any certificate or agreement delivered pursuant hereto, none of the Purchasing Party nor any person acting on behalf of the Purchasing Party nor any of the Purchasing Party’s affiliates (“</w:t>
      </w:r>
      <w:r>
        <w:rPr>
          <w:rFonts w:ascii="Times New Roman" w:cs="Times New Roman" w:eastAsia="Times New Roman" w:hAnsi="Times New Roman"/>
          <w:sz w:val="18"/>
          <w:szCs w:val="18"/>
          <w:u w:val="single" w:color="auto"/>
          <w:color w:val="auto"/>
        </w:rPr>
        <w:t>Purchasing Party Group</w:t>
      </w:r>
      <w:r>
        <w:rPr>
          <w:rFonts w:ascii="Times New Roman" w:cs="Times New Roman" w:eastAsia="Times New Roman" w:hAnsi="Times New Roman"/>
          <w:sz w:val="18"/>
          <w:szCs w:val="18"/>
          <w:color w:val="auto"/>
        </w:rPr>
        <w:t xml:space="preserve">”) has made, makes or shall be deemed to make any other express or implied representation or warranty with respect to the Purchasing Party or the purchase and sale of the Forward Purchase Shares, and the Purchasing Party disclaim any such representation or warranty. Except for the specific representations and warranties expressly made by (i) Parent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and in any certificate or agreement delivered pursuant hereto and (ii) the Company in Section 5 of this Agreement, the Purchasing Party Group specifically disclaims that it is relying upon any other representations or warranties that may have been made by Parent, any person on behalf of Parent or any of Parent’s affiliates (collectively,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w:t>
      </w: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tations and Warranties of Parent</w:t>
      </w:r>
      <w:r>
        <w:rPr>
          <w:rFonts w:ascii="Times New Roman" w:cs="Times New Roman" w:eastAsia="Times New Roman" w:hAnsi="Times New Roman"/>
          <w:sz w:val="18"/>
          <w:szCs w:val="18"/>
          <w:color w:val="auto"/>
        </w:rPr>
        <w:t>. Parent represents and warrants to the Purchasing Party as follows:</w:t>
      </w:r>
    </w:p>
    <w:p>
      <w:pPr>
        <w:spacing w:after="0" w:line="229" w:lineRule="exact"/>
        <w:rPr>
          <w:rFonts w:ascii="Times New Roman" w:cs="Times New Roman" w:eastAsia="Times New Roman" w:hAnsi="Times New Roman"/>
          <w:sz w:val="18"/>
          <w:szCs w:val="18"/>
          <w:b w:val="1"/>
          <w:bCs w:val="1"/>
          <w:color w:val="auto"/>
        </w:rPr>
      </w:pPr>
    </w:p>
    <w:p>
      <w:pPr>
        <w:ind w:left="-656" w:right="180" w:firstLine="1304"/>
        <w:spacing w:after="0" w:line="266" w:lineRule="auto"/>
        <w:tabs>
          <w:tab w:leader="none" w:pos="128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Corporate Power</w:t>
      </w:r>
      <w:r>
        <w:rPr>
          <w:rFonts w:ascii="Times New Roman" w:cs="Times New Roman" w:eastAsia="Times New Roman" w:hAnsi="Times New Roman"/>
          <w:sz w:val="18"/>
          <w:szCs w:val="18"/>
          <w:color w:val="auto"/>
        </w:rPr>
        <w:t>. Parent is an exempted company duly incorporated, validly existing and in good standing under the Laws of the Cayman Islands and has all requisite corporate power and authority to carry on its business as presently conducted and as proposed to be conducted.</w:t>
      </w:r>
    </w:p>
    <w:p>
      <w:pPr>
        <w:spacing w:after="0" w:line="175" w:lineRule="exact"/>
        <w:rPr>
          <w:rFonts w:ascii="Times New Roman" w:cs="Times New Roman" w:eastAsia="Times New Roman" w:hAnsi="Times New Roman"/>
          <w:sz w:val="18"/>
          <w:szCs w:val="18"/>
          <w:color w:val="auto"/>
        </w:rPr>
      </w:pPr>
    </w:p>
    <w:p>
      <w:pPr>
        <w:ind w:left="-656" w:right="80" w:firstLine="1304"/>
        <w:spacing w:after="0" w:line="261" w:lineRule="auto"/>
        <w:tabs>
          <w:tab w:leader="none" w:pos="130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share capital of Parent consists, as of the date hereof, of 100,000,000 shares of Parent Ordinary Shares and 1,000,000 preference shares, of which 20,450,000 Parent Ordinary Shares and no Parent Preferred Shares are issued and outstanding. All of the issued and outstanding Parent Ordinary Shares and preference shares have been duly authorized, are fully paid and nonassessable and were issued in compliance with all applicable federal and state securities Laws.</w:t>
      </w:r>
    </w:p>
    <w:p>
      <w:pPr>
        <w:spacing w:after="0" w:line="179" w:lineRule="exact"/>
        <w:rPr>
          <w:rFonts w:ascii="Times New Roman" w:cs="Times New Roman" w:eastAsia="Times New Roman" w:hAnsi="Times New Roman"/>
          <w:sz w:val="18"/>
          <w:szCs w:val="18"/>
          <w:color w:val="auto"/>
        </w:rPr>
      </w:pPr>
    </w:p>
    <w:p>
      <w:pPr>
        <w:ind w:left="-656" w:firstLine="1304"/>
        <w:spacing w:after="0" w:line="253" w:lineRule="auto"/>
        <w:tabs>
          <w:tab w:leader="none" w:pos="128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All corporate action required to be taken by Parent’s Board of Directors and shareholders in order to authorize Parent to enter into this Agreement, and to issue the Forward Purchase Shares at the Share Purchase Closing has been taken or will be taken prior to the Share Purchase Closing, as applicable. All action on the part of the shareholders, directors and officers of Parent necessary for the execution and delivery of this Agreement, the performance of all obligations of Parent under this Agreement to be performed as of the Share Purchase Closing, and the issuance and delivery of the Forward Purchase Shares has been taken or will be taken prior to the Share Purchase Closing. This Agreement, when executed and delivered by Parent, shall constitute a valid and legally binding obligation of Parent, enforceable against Parent in accordance with its terms except (i)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the Registration Rights Agreement may be limited by applicable federal or state securities Laws.</w:t>
      </w:r>
    </w:p>
    <w:p>
      <w:pPr>
        <w:spacing w:after="0" w:line="194"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of Forward Purchase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6" w:firstLine="1952"/>
        <w:spacing w:after="0" w:line="255" w:lineRule="auto"/>
        <w:tabs>
          <w:tab w:leader="none" w:pos="1769" w:val="left"/>
        </w:tabs>
        <w:numPr>
          <w:ilvl w:val="2"/>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Forward Purchase Shares, when issued, sold and delivered in accordance with the terms and for the consideration set forth in this Agreement and registered in the register of members of the Company when issued in accordance with this Agreement, and registered on Parent’s share register, will be validly issued, fully paid and nonassessable and free of all preemptive or similar rights, liens, encumbrances and charges with respect to the issue thereof and restrictions on transfer other than restrictions on transfer specified under this Agreement, applicable state and federal securities Laws and liens or encumbrances created by or imposed by the Purchasing Party, as applicable. Assuming the accuracy of the representations of the Purchasing Party in this Agreement and subject to the filings described in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xml:space="preserve"> below, the Forward Purchase Shares will be issued in compliance with all applicable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431165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213" w:name="page214"/>
    <w:bookmarkEnd w:id="213"/>
    <w:p>
      <w:pPr>
        <w:ind w:left="-1120" w:right="40" w:firstLine="1952"/>
        <w:spacing w:after="0" w:line="261" w:lineRule="auto"/>
        <w:tabs>
          <w:tab w:leader="none" w:pos="1359"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“bad actor” disqualifying event described in Rule 506(d)(1)(i)-(viii) of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is applicable to Parent or, to Parent’s knowledge, any Parent Covered Person (as defined below), except for a Disqualification Event as to which Rule 506(d)(2)(ii—iv) or (d)(3), is applicable. “</w:t>
      </w:r>
      <w:r>
        <w:rPr>
          <w:rFonts w:ascii="Times New Roman" w:cs="Times New Roman" w:eastAsia="Times New Roman" w:hAnsi="Times New Roman"/>
          <w:sz w:val="18"/>
          <w:szCs w:val="18"/>
          <w:u w:val="single" w:color="auto"/>
          <w:color w:val="auto"/>
        </w:rPr>
        <w:t>Parent Covered Person</w:t>
      </w:r>
      <w:r>
        <w:rPr>
          <w:rFonts w:ascii="Times New Roman" w:cs="Times New Roman" w:eastAsia="Times New Roman" w:hAnsi="Times New Roman"/>
          <w:sz w:val="18"/>
          <w:szCs w:val="18"/>
          <w:color w:val="auto"/>
        </w:rPr>
        <w:t>” means, with respect to Parent as an “issuer” for purposes of Rule 506 promulgated under the Securities Act, any Person listed in the first paragraph of Rule 506(d)(1).</w:t>
      </w:r>
    </w:p>
    <w:p>
      <w:pPr>
        <w:spacing w:after="0" w:line="179" w:lineRule="exact"/>
        <w:rPr>
          <w:rFonts w:ascii="Times New Roman" w:cs="Times New Roman" w:eastAsia="Times New Roman" w:hAnsi="Times New Roman"/>
          <w:sz w:val="18"/>
          <w:szCs w:val="18"/>
          <w:color w:val="auto"/>
        </w:rPr>
      </w:pPr>
    </w:p>
    <w:p>
      <w:pPr>
        <w:jc w:val="both"/>
        <w:ind w:left="-1120" w:right="40" w:firstLine="1304"/>
        <w:spacing w:after="0" w:line="261" w:lineRule="auto"/>
        <w:tabs>
          <w:tab w:leader="none" w:pos="82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Consents and Filings</w:t>
      </w:r>
      <w:r>
        <w:rPr>
          <w:rFonts w:ascii="Times New Roman" w:cs="Times New Roman" w:eastAsia="Times New Roman" w:hAnsi="Times New Roman"/>
          <w:sz w:val="18"/>
          <w:szCs w:val="18"/>
          <w:color w:val="auto"/>
        </w:rPr>
        <w:t>. Assuming the accuracy of the representations and warranties made by the Purchasing Party in this Agreement, no consent, approval, order or authorization of, or registration, qualification, designation, declaration or filing with, any federal, state or local governmental authority is required on the part of Parent in connection with the consummation of the transactions contemplated by this Agreement, except for filings pursuant to Regulation D of the Securities Act, applicable state securities Laws and pursuant to the Registration Rights Agreement.</w:t>
      </w:r>
    </w:p>
    <w:p>
      <w:pPr>
        <w:spacing w:after="0" w:line="179" w:lineRule="exact"/>
        <w:rPr>
          <w:rFonts w:ascii="Times New Roman" w:cs="Times New Roman" w:eastAsia="Times New Roman" w:hAnsi="Times New Roman"/>
          <w:sz w:val="18"/>
          <w:szCs w:val="18"/>
          <w:color w:val="auto"/>
        </w:rPr>
      </w:pPr>
    </w:p>
    <w:p>
      <w:pPr>
        <w:ind w:left="-1120" w:firstLine="1304"/>
        <w:spacing w:after="0" w:line="256" w:lineRule="auto"/>
        <w:tabs>
          <w:tab w:leader="none" w:pos="80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execution, delivery and performance of this Agreement and the consummation of the transactions contemplated by this Agreement will not result in any violation or default (i) of any provisions of Parent’s Governing Documents, as they may be amended from time to time, (ii) of any instrument, judgment, order, writ or decree to which Parent is a party or by which it is bound, (iii) under any note, indenture or mortgage to which Parent is a party or by which it is bound, (iv) under any lease, agreement, contract or purchase order to which Parent is a party or by which it is bound or (v) of any provision of federal or state statute, rule or regulation applicable to Parent, in each case (other than clause (i)) which would have a material adverse effect on Parent or its ability to consummate the transactions contemplated by this Agreement.</w:t>
      </w:r>
    </w:p>
    <w:p>
      <w:pPr>
        <w:spacing w:after="0" w:line="187" w:lineRule="exact"/>
        <w:rPr>
          <w:rFonts w:ascii="Times New Roman" w:cs="Times New Roman" w:eastAsia="Times New Roman" w:hAnsi="Times New Roman"/>
          <w:sz w:val="18"/>
          <w:szCs w:val="18"/>
          <w:color w:val="auto"/>
        </w:rPr>
      </w:pPr>
    </w:p>
    <w:p>
      <w:pPr>
        <w:ind w:left="-1120" w:right="180" w:firstLine="1304"/>
        <w:spacing w:after="0" w:line="282" w:lineRule="auto"/>
        <w:tabs>
          <w:tab w:leader="none" w:pos="83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As of the date hereof, Parent has not conducted any operations other than organizational activities and activities in connection with the IPO, its search for a potential business combination and financing in connection therewith.</w:t>
      </w:r>
    </w:p>
    <w:p>
      <w:pPr>
        <w:spacing w:after="0" w:line="161" w:lineRule="exact"/>
        <w:rPr>
          <w:rFonts w:ascii="Times New Roman" w:cs="Times New Roman" w:eastAsia="Times New Roman" w:hAnsi="Times New Roman"/>
          <w:sz w:val="18"/>
          <w:szCs w:val="18"/>
          <w:color w:val="auto"/>
        </w:rPr>
      </w:pPr>
    </w:p>
    <w:p>
      <w:pPr>
        <w:ind w:left="-1120" w:right="120" w:firstLine="1304"/>
        <w:spacing w:after="0" w:line="277" w:lineRule="auto"/>
        <w:tabs>
          <w:tab w:leader="none" w:pos="836"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Foreign Corrupt Practices</w:t>
      </w:r>
      <w:r>
        <w:rPr>
          <w:rFonts w:ascii="Times New Roman" w:cs="Times New Roman" w:eastAsia="Times New Roman" w:hAnsi="Times New Roman"/>
          <w:sz w:val="17"/>
          <w:szCs w:val="17"/>
          <w:color w:val="auto"/>
        </w:rPr>
        <w:t>. Neither Parent, nor any director, officer, agent, employee or other Person acting on behalf of Parent has, in the course of its actions for, or on behalf of, Parent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unlawful bribe, rebate, payoff, influence payment, kickback or other unlawful payment to any foreign or domestic government official or employee.</w:t>
      </w:r>
    </w:p>
    <w:p>
      <w:pPr>
        <w:spacing w:after="0" w:line="167" w:lineRule="exact"/>
        <w:rPr>
          <w:rFonts w:ascii="Times New Roman" w:cs="Times New Roman" w:eastAsia="Times New Roman" w:hAnsi="Times New Roman"/>
          <w:sz w:val="17"/>
          <w:szCs w:val="17"/>
          <w:color w:val="auto"/>
        </w:rPr>
      </w:pPr>
    </w:p>
    <w:p>
      <w:pPr>
        <w:ind w:left="-1120" w:firstLine="1304"/>
        <w:spacing w:after="0" w:line="261" w:lineRule="auto"/>
        <w:tabs>
          <w:tab w:leader="none" w:pos="79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Anti-Money Laundering Laws</w:t>
      </w:r>
      <w:r>
        <w:rPr>
          <w:rFonts w:ascii="Times New Roman" w:cs="Times New Roman" w:eastAsia="Times New Roman" w:hAnsi="Times New Roman"/>
          <w:sz w:val="18"/>
          <w:szCs w:val="18"/>
          <w:color w:val="auto"/>
        </w:rPr>
        <w:t>. The operations of Parent are and have been conducted at all times in compliance with applicable financial recordkeeping and reporting requirements and all other applicable U.S. and non-U.S. anti-money laundering Laws and regulations, including, but not limited to, Anti-Money Laundering Laws, and no action, suit or proceeding by or before any court or governmental agency, authority or body or any arbitrator involving Parent with respect to the Anti-Money Laundering Laws is pending or, to the knowledge of Parent, threatened.</w:t>
      </w:r>
    </w:p>
    <w:p>
      <w:pPr>
        <w:spacing w:after="0" w:line="179" w:lineRule="exact"/>
        <w:rPr>
          <w:rFonts w:ascii="Times New Roman" w:cs="Times New Roman" w:eastAsia="Times New Roman" w:hAnsi="Times New Roman"/>
          <w:sz w:val="18"/>
          <w:szCs w:val="18"/>
          <w:color w:val="auto"/>
        </w:rPr>
      </w:pPr>
    </w:p>
    <w:p>
      <w:pPr>
        <w:ind w:left="-1120" w:right="180" w:firstLine="1304"/>
        <w:spacing w:after="0" w:line="312" w:lineRule="auto"/>
        <w:tabs>
          <w:tab w:leader="none" w:pos="796"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Litigation</w:t>
      </w:r>
      <w:r>
        <w:rPr>
          <w:rFonts w:ascii="Times New Roman" w:cs="Times New Roman" w:eastAsia="Times New Roman" w:hAnsi="Times New Roman"/>
          <w:sz w:val="17"/>
          <w:szCs w:val="17"/>
          <w:color w:val="auto"/>
        </w:rPr>
        <w:t>. There is no Action before or by any Governmental Authority or, to the Knowledge of Parent, threatened against or affecting Parent or any of Parent’s officers or directors, whether of a civil or criminal nature or otherwise, in their capacities as such.</w:t>
      </w:r>
    </w:p>
    <w:p>
      <w:pPr>
        <w:spacing w:after="0" w:line="139" w:lineRule="exact"/>
        <w:rPr>
          <w:rFonts w:ascii="Times New Roman" w:cs="Times New Roman" w:eastAsia="Times New Roman" w:hAnsi="Times New Roman"/>
          <w:sz w:val="17"/>
          <w:szCs w:val="17"/>
          <w:color w:val="auto"/>
        </w:rPr>
      </w:pPr>
    </w:p>
    <w:p>
      <w:pPr>
        <w:jc w:val="both"/>
        <w:ind w:left="-1120" w:right="180" w:firstLine="1304"/>
        <w:spacing w:after="0" w:line="266" w:lineRule="auto"/>
        <w:tabs>
          <w:tab w:leader="none" w:pos="83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Parent, nor any of its officers, directors, employees, agents or shareholders has either directly or indirectly, including, through a broker or finder (i) engaged in any general solicitation, or (ii) published any advertisement in connection with the offer and sale of the Forward Purchase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423545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14" w:name="page215"/>
    <w:bookmarkEnd w:id="214"/>
    <w:p>
      <w:pPr>
        <w:ind w:right="40" w:firstLine="1304"/>
        <w:spacing w:after="0" w:line="256" w:lineRule="auto"/>
        <w:tabs>
          <w:tab w:leader="none" w:pos="1916"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and Warranties; Non-Reliance</w:t>
      </w:r>
      <w:r>
        <w:rPr>
          <w:rFonts w:ascii="Times New Roman" w:cs="Times New Roman" w:eastAsia="Times New Roman" w:hAnsi="Times New Roman"/>
          <w:sz w:val="18"/>
          <w:szCs w:val="18"/>
          <w:color w:val="auto"/>
        </w:rPr>
        <w:t xml:space="preserve">. Except for the specific representations and warranties contained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in any certificate or agreement delivered pursuant hereto, none of Parent Parties has made, makes or shall be deemed to make any other express or implied representation or warranty with respect to Parent, the transactions contemplated by the Merger Agreement or the offer and sale of the Forward Purchase Shares, and the Parent Parties disclaim any such representation or warranty. Except for the specific representations and warranties expressly made by the Purchasing Party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and in any certificate or agreement delivered pursuant hereto, the Parent Parties specifically disclaim that they are relying upon any other representations or warranties that may have been made by the Purchasing Party.</w:t>
      </w:r>
    </w:p>
    <w:p>
      <w:pPr>
        <w:spacing w:after="0" w:line="183"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40" w:firstLine="1304"/>
        <w:spacing w:after="0" w:line="255" w:lineRule="auto"/>
        <w:tabs>
          <w:tab w:leader="none" w:pos="1945" w:val="left"/>
        </w:tabs>
        <w:numPr>
          <w:ilvl w:val="2"/>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The Company (i) represents and warrants to the Purchasing Party that, the representations and warranties of the Company in the Merger Agreement are true and correct as of the date hereof and will be true and correct as of the Closing Date (other than any such representation or warranty that is made by its terms as of a specified date, which shall be true and correct as of such specified date), in each case, other than as would not individually or in the aggregate reasonably be expected to have a Material Adverse Effect in respect of the Company and its Subsidiaries and</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the Purchasing Party is relying on the accuracy of such representations and warranties as set forth in the preceding clause</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250"/>
        </w:numPr>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firstLine="1304"/>
        <w:spacing w:after="0" w:line="255" w:lineRule="auto"/>
        <w:tabs>
          <w:tab w:leader="none" w:pos="1956"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and Warranties; Non-Reliance</w:t>
      </w:r>
      <w:r>
        <w:rPr>
          <w:rFonts w:ascii="Times New Roman" w:cs="Times New Roman" w:eastAsia="Times New Roman" w:hAnsi="Times New Roman"/>
          <w:sz w:val="18"/>
          <w:szCs w:val="18"/>
          <w:color w:val="auto"/>
        </w:rPr>
        <w:t>. Except for the specific representations and warranties contained in this Section 5 and in any certificate or agreement delivered pursuant hereto, neither the Company nor any person acting on behalf of the Company nor any of the Company’s affiliates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has made, makes or shall be deemed to make any other express or implied representation or warranty with respect to the Company, the transactions contemplated by the Merger Agreement or the offer and sale of the Forward Purchase Shares, and the Company Group disclaims any such representation or warranty. Except for the specific representations and warranties expressly made by the Purchasing Party in Section 3 of this Agreement and in any certificate or agreement delivered pursuant hereto, the Company specifically disclaims that it is relying upon any other representations or warranties that may have been made by the Purchasing Party</w:t>
      </w:r>
    </w:p>
    <w:p>
      <w:pPr>
        <w:spacing w:after="0" w:line="184"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Agreements, Acknowledgements and Waivers of the Purchasing Party.</w:t>
      </w:r>
    </w:p>
    <w:p>
      <w:pPr>
        <w:spacing w:after="0" w:line="229" w:lineRule="exact"/>
        <w:rPr>
          <w:rFonts w:ascii="Times New Roman" w:cs="Times New Roman" w:eastAsia="Times New Roman" w:hAnsi="Times New Roman"/>
          <w:sz w:val="18"/>
          <w:szCs w:val="18"/>
          <w:b w:val="1"/>
          <w:bCs w:val="1"/>
          <w:color w:val="auto"/>
        </w:rPr>
      </w:pPr>
    </w:p>
    <w:p>
      <w:pPr>
        <w:ind w:right="40" w:firstLine="1304"/>
        <w:spacing w:after="0" w:line="255" w:lineRule="auto"/>
        <w:tabs>
          <w:tab w:leader="none" w:pos="1945" w:val="left"/>
        </w:tabs>
        <w:numPr>
          <w:ilvl w:val="2"/>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Reference is made to the final prospectus of Parent, dated August 3, 2020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Purchasing Party has read the Prospectus and understands that Parent has established the Trust Account for the benefit of the public Parent Shareholders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the Company and the Purchasing Party for itself and on behalf of its securityholders, hereby agrees that it does not now and shall not at any time hereafter have any right, title, interest or claim of any kind in or to any monies in the Trust Account as a result of, or arising out of, any negotiations, contracts or agreements with Parent and hereby agrees that it will not seek recourse against the Trust Account for any reason.</w:t>
      </w:r>
    </w:p>
    <w:p>
      <w:pPr>
        <w:spacing w:after="0" w:line="188" w:lineRule="exact"/>
        <w:rPr>
          <w:rFonts w:ascii="Times New Roman" w:cs="Times New Roman" w:eastAsia="Times New Roman" w:hAnsi="Times New Roman"/>
          <w:sz w:val="18"/>
          <w:szCs w:val="18"/>
          <w:color w:val="auto"/>
        </w:rPr>
      </w:pPr>
    </w:p>
    <w:p>
      <w:pPr>
        <w:ind w:right="80" w:firstLine="1304"/>
        <w:spacing w:after="0" w:line="256" w:lineRule="auto"/>
        <w:tabs>
          <w:tab w:leader="none" w:pos="1956" w:val="left"/>
        </w:tabs>
        <w:numPr>
          <w:ilvl w:val="2"/>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xml:space="preserve">. The Purchasing Party hereby agrees that neither it, nor any person or entity acting on its behalf or pursuant to any understanding with it, will engage in any Short Sales with respect to securities of Parent prior to the Merger Closing.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w:t>
      </w:r>
    </w:p>
    <w:p>
      <w:pPr>
        <w:spacing w:after="0" w:line="187" w:lineRule="exact"/>
        <w:rPr>
          <w:rFonts w:ascii="Times New Roman" w:cs="Times New Roman" w:eastAsia="Times New Roman" w:hAnsi="Times New Roman"/>
          <w:sz w:val="18"/>
          <w:szCs w:val="18"/>
          <w:color w:val="auto"/>
        </w:rPr>
      </w:pPr>
    </w:p>
    <w:p>
      <w:pPr>
        <w:ind w:right="140" w:firstLine="1304"/>
        <w:spacing w:after="0" w:line="253" w:lineRule="auto"/>
        <w:tabs>
          <w:tab w:leader="none" w:pos="1945" w:val="left"/>
        </w:tabs>
        <w:numPr>
          <w:ilvl w:val="2"/>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Redemption</w:t>
      </w:r>
      <w:r>
        <w:rPr>
          <w:rFonts w:ascii="Times New Roman" w:cs="Times New Roman" w:eastAsia="Times New Roman" w:hAnsi="Times New Roman"/>
          <w:sz w:val="18"/>
          <w:szCs w:val="18"/>
          <w:color w:val="auto"/>
        </w:rPr>
        <w:t xml:space="preserve">. Until the Merger Closing, the Purchasing Party hereby irrevocably and unconditionally agrees not to redeem, elect to redeem or tender or submit any Subject Securities in connection with (i) the Merger or any other transactions contemplated by the Merger Agreement or (ii) any proposal to amend Parent’s organizational documents to extend the period of time that Parent is afforded thereunder and its prospectus to consummate an initial business combination, including any vote at any meeting of the shareholders of Parent (whether annual or special and whether or not an adjourned or postponed meeting however called and including any adjournment or postponement thereof) or any action by written resolution of the shareholders of Parent with respect to the foregoing, and any attempt to redeem such Subject Securities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 For purposes of this Agreement, “</w:t>
      </w:r>
      <w:r>
        <w:rPr>
          <w:rFonts w:ascii="Times New Roman" w:cs="Times New Roman" w:eastAsia="Times New Roman" w:hAnsi="Times New Roman"/>
          <w:sz w:val="18"/>
          <w:szCs w:val="18"/>
          <w:u w:val="single" w:color="auto"/>
          <w:color w:val="auto"/>
        </w:rPr>
        <w:t>Subject Securities</w:t>
      </w:r>
      <w:r>
        <w:rPr>
          <w:rFonts w:ascii="Times New Roman" w:cs="Times New Roman" w:eastAsia="Times New Roman" w:hAnsi="Times New Roman"/>
          <w:sz w:val="18"/>
          <w:szCs w:val="18"/>
          <w:color w:val="auto"/>
        </w:rPr>
        <w:t>” means all of Purchasing Party’s Parent Ordinary Shares and any other equity securities of Parent that the Purchasing Party holds of record or beneficially as of the date of this Agreement or acquires record or beneficial ownership after the date hereof, including any (i) Market Transaction Shares and (ii) Parent Warrants or other securities convertible into or exercisable or exchangeable for Parent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5" w:name="page216"/>
    <w:bookmarkEnd w:id="215"/>
    <w:p>
      <w:pPr>
        <w:ind w:left="624" w:hanging="624"/>
        <w:spacing w:after="0"/>
        <w:tabs>
          <w:tab w:leader="none" w:pos="624"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Purchase Closing Conditions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656" w:right="260" w:firstLine="1304"/>
        <w:spacing w:after="0" w:line="266" w:lineRule="auto"/>
        <w:tabs>
          <w:tab w:leader="none" w:pos="128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each of the Purchasing Party to consummate the Share Purchase Closing is subject to the fulfillment, at or prior to the Share Purchase Closing of each of the following conditions, any of which, to the extent permitted by applicable Laws, may be waived by the Purchasing Party , as applicable:</w:t>
      </w:r>
    </w:p>
    <w:p>
      <w:pPr>
        <w:spacing w:after="0" w:line="175" w:lineRule="exact"/>
        <w:rPr>
          <w:rFonts w:ascii="Times New Roman" w:cs="Times New Roman" w:eastAsia="Times New Roman" w:hAnsi="Times New Roman"/>
          <w:sz w:val="18"/>
          <w:szCs w:val="18"/>
          <w:color w:val="auto"/>
        </w:rPr>
      </w:pPr>
    </w:p>
    <w:p>
      <w:pPr>
        <w:ind w:left="-656" w:right="60" w:firstLine="1952"/>
        <w:spacing w:after="0" w:line="256" w:lineRule="auto"/>
        <w:tabs>
          <w:tab w:leader="none" w:pos="1769"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set forth in Article X of the Merger Agreement (other than those conditions that by their nature are to be satisfied by (i) actions taken at the Merger Closing; provided that each such condition is then capable of being satisfied at the Merger Closing on such date and (ii) the consummation of the transactions contemplated by this Agreement) have been satisfied or waived (provided that, for purposes of this Agreement, the conditions set forth in Sections 10.3(h) and 10.3(j) in the Merger Agreement may not be waived without the written consent of the Purchasing Party), and the Company and Parent have confirmed to the Purchasing Party in writing that the Company and Parent are ready, willing and able to consummate the Transactions;</w:t>
      </w:r>
    </w:p>
    <w:p>
      <w:pPr>
        <w:spacing w:after="0" w:line="187" w:lineRule="exact"/>
        <w:rPr>
          <w:rFonts w:ascii="Times New Roman" w:cs="Times New Roman" w:eastAsia="Times New Roman" w:hAnsi="Times New Roman"/>
          <w:sz w:val="18"/>
          <w:szCs w:val="18"/>
          <w:color w:val="auto"/>
        </w:rPr>
      </w:pPr>
    </w:p>
    <w:p>
      <w:pPr>
        <w:jc w:val="both"/>
        <w:ind w:left="-656" w:right="100" w:firstLine="1952"/>
        <w:spacing w:after="0" w:line="258" w:lineRule="auto"/>
        <w:tabs>
          <w:tab w:leader="none" w:pos="1819"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Parent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have been true and correct as of the date hereof and shall be true and correct as of the Share Purchase Closing,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Parent’s ability to consummate the transactions contemplated by this Agreement;</w:t>
      </w:r>
    </w:p>
    <w:p>
      <w:pPr>
        <w:spacing w:after="0" w:line="183" w:lineRule="exact"/>
        <w:rPr>
          <w:rFonts w:ascii="Times New Roman" w:cs="Times New Roman" w:eastAsia="Times New Roman" w:hAnsi="Times New Roman"/>
          <w:sz w:val="18"/>
          <w:szCs w:val="18"/>
          <w:color w:val="auto"/>
        </w:rPr>
      </w:pPr>
    </w:p>
    <w:p>
      <w:pPr>
        <w:ind w:left="-656" w:right="700" w:firstLine="1952"/>
        <w:spacing w:after="0" w:line="282" w:lineRule="auto"/>
        <w:tabs>
          <w:tab w:leader="none" w:pos="1873"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performed, satisfied and complied in all material respects with the covenants, agreements and conditions required by this Agreement to be performed, satisfied or complied with by Parent, at or prior to the Share Purchase Closing; and</w:t>
      </w:r>
    </w:p>
    <w:p>
      <w:pPr>
        <w:spacing w:after="0" w:line="161" w:lineRule="exact"/>
        <w:rPr>
          <w:rFonts w:ascii="Times New Roman" w:cs="Times New Roman" w:eastAsia="Times New Roman" w:hAnsi="Times New Roman"/>
          <w:sz w:val="18"/>
          <w:szCs w:val="18"/>
          <w:color w:val="auto"/>
        </w:rPr>
      </w:pPr>
    </w:p>
    <w:p>
      <w:pPr>
        <w:ind w:left="-656" w:right="180" w:firstLine="1952"/>
        <w:spacing w:after="0" w:line="266" w:lineRule="auto"/>
        <w:tabs>
          <w:tab w:leader="none" w:pos="1863"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the Purchasing Party of the Forward Purchase Shares.</w:t>
      </w:r>
    </w:p>
    <w:p>
      <w:pPr>
        <w:spacing w:after="0" w:line="175" w:lineRule="exact"/>
        <w:rPr>
          <w:rFonts w:ascii="Times New Roman" w:cs="Times New Roman" w:eastAsia="Times New Roman" w:hAnsi="Times New Roman"/>
          <w:sz w:val="18"/>
          <w:szCs w:val="18"/>
          <w:color w:val="auto"/>
        </w:rPr>
      </w:pPr>
    </w:p>
    <w:p>
      <w:pPr>
        <w:ind w:left="-656" w:right="40" w:firstLine="1952"/>
        <w:spacing w:after="0" w:line="282" w:lineRule="auto"/>
        <w:tabs>
          <w:tab w:leader="none" w:pos="1813"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shall not have occurred any Material Adverse Effect pursuant to clause (a) of the definition thereof in the Merger Agreement in respect of the Company Group that is continuing.</w:t>
      </w:r>
    </w:p>
    <w:p>
      <w:pPr>
        <w:spacing w:after="0" w:line="161" w:lineRule="exact"/>
        <w:rPr>
          <w:rFonts w:ascii="Times New Roman" w:cs="Times New Roman" w:eastAsia="Times New Roman" w:hAnsi="Times New Roman"/>
          <w:sz w:val="18"/>
          <w:szCs w:val="18"/>
          <w:color w:val="auto"/>
        </w:rPr>
      </w:pPr>
    </w:p>
    <w:p>
      <w:pPr>
        <w:ind w:left="-656" w:right="120" w:firstLine="1304"/>
        <w:spacing w:after="0" w:line="282" w:lineRule="auto"/>
        <w:tabs>
          <w:tab w:leader="none" w:pos="116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Parent to consummate the Share Purchase Closing is subject to the fulfillment, at or prior to the Share Purchase Closing of each of the following conditions, any of which, to the extent permitted by applicable Laws, may be waived by Parent :</w:t>
      </w:r>
    </w:p>
    <w:p>
      <w:pPr>
        <w:spacing w:after="0" w:line="161" w:lineRule="exact"/>
        <w:rPr>
          <w:rFonts w:ascii="Times New Roman" w:cs="Times New Roman" w:eastAsia="Times New Roman" w:hAnsi="Times New Roman"/>
          <w:sz w:val="18"/>
          <w:szCs w:val="18"/>
          <w:color w:val="auto"/>
        </w:rPr>
      </w:pPr>
    </w:p>
    <w:p>
      <w:pPr>
        <w:ind w:left="-656" w:right="80" w:firstLine="1952"/>
        <w:spacing w:after="0" w:line="261" w:lineRule="auto"/>
        <w:tabs>
          <w:tab w:leader="none" w:pos="1769"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set forth in Article X of the Merger Agreement (other than those conditions that by their nature are to be satisfied by actions taken at the Merger Closing; provided that each such condition is then capable of being satisfied at the Merger Closing on such date) to Parent’s obligations to consummate the Merger Closing have been satisfied or waived, and the Company has confirmed to Parent in writing that the Company is ready, willing and able to consummate the Transactions;</w:t>
      </w:r>
    </w:p>
    <w:p>
      <w:pPr>
        <w:spacing w:after="0" w:line="179" w:lineRule="exact"/>
        <w:rPr>
          <w:rFonts w:ascii="Times New Roman" w:cs="Times New Roman" w:eastAsia="Times New Roman" w:hAnsi="Times New Roman"/>
          <w:sz w:val="18"/>
          <w:szCs w:val="18"/>
          <w:color w:val="auto"/>
        </w:rPr>
      </w:pPr>
    </w:p>
    <w:p>
      <w:pPr>
        <w:ind w:left="-656" w:firstLine="1952"/>
        <w:spacing w:after="0" w:line="258" w:lineRule="auto"/>
        <w:tabs>
          <w:tab w:leader="none" w:pos="1819"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Purchasing Party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have been true and correct as of the date hereof and shall be true and correct as of the Share Purchase Closing,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the Purchasing Party or its ability to consummate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427990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216" w:name="page217"/>
    <w:bookmarkEnd w:id="216"/>
    <w:p>
      <w:pPr>
        <w:ind w:firstLine="1952"/>
        <w:spacing w:after="0" w:line="266" w:lineRule="auto"/>
        <w:tabs>
          <w:tab w:leader="none" w:pos="2525"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Purchasing Party shall have performed, satisfied and complied in all material respects with the covenants, agreements and conditions required by this Agreement to be performed, satisfied or complied with by the Purchasing Party at or prior to the Share Purchase Closing; and</w:t>
      </w:r>
    </w:p>
    <w:p>
      <w:pPr>
        <w:spacing w:after="0" w:line="175" w:lineRule="exact"/>
        <w:rPr>
          <w:rFonts w:ascii="Times New Roman" w:cs="Times New Roman" w:eastAsia="Times New Roman" w:hAnsi="Times New Roman"/>
          <w:sz w:val="18"/>
          <w:szCs w:val="18"/>
          <w:color w:val="auto"/>
        </w:rPr>
      </w:pPr>
    </w:p>
    <w:p>
      <w:pPr>
        <w:ind w:right="160" w:firstLine="1952"/>
        <w:spacing w:after="0" w:line="266" w:lineRule="auto"/>
        <w:tabs>
          <w:tab w:leader="none" w:pos="2519"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the Purchasing Party of the Forward Purchase Shares.</w:t>
      </w:r>
    </w:p>
    <w:p>
      <w:pPr>
        <w:spacing w:after="0" w:line="175" w:lineRule="exact"/>
        <w:rPr>
          <w:rFonts w:ascii="Times New Roman" w:cs="Times New Roman" w:eastAsia="Times New Roman" w:hAnsi="Times New Roman"/>
          <w:sz w:val="18"/>
          <w:szCs w:val="18"/>
          <w:color w:val="auto"/>
        </w:rPr>
      </w:pPr>
    </w:p>
    <w:p>
      <w:pPr>
        <w:ind w:firstLine="1952"/>
        <w:spacing w:after="0" w:line="266" w:lineRule="auto"/>
        <w:tabs>
          <w:tab w:leader="none" w:pos="2469"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evidence reasonably satisfactory of (i) the Purchasing Party’s ownership of the Market Transaction Shares and purchase thereof following the date hereof and (ii) the aggregate dollar amount paid by the Purchasing Party to purchase the Market Transaction Shares.</w:t>
      </w:r>
    </w:p>
    <w:p>
      <w:pPr>
        <w:spacing w:after="0" w:line="17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This Agreement may be terminated at any time prior to the Share Purchase Closing:</w:t>
      </w:r>
    </w:p>
    <w:p>
      <w:pPr>
        <w:spacing w:after="0" w:line="229" w:lineRule="exact"/>
        <w:rPr>
          <w:rFonts w:ascii="Times New Roman" w:cs="Times New Roman" w:eastAsia="Times New Roman" w:hAnsi="Times New Roman"/>
          <w:sz w:val="18"/>
          <w:szCs w:val="18"/>
          <w:b w:val="1"/>
          <w:bCs w:val="1"/>
          <w:color w:val="auto"/>
        </w:rPr>
      </w:pPr>
    </w:p>
    <w:p>
      <w:pPr>
        <w:ind w:left="1820" w:hanging="516"/>
        <w:spacing w:after="0"/>
        <w:tabs>
          <w:tab w:leader="none" w:pos="182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parties hereto; or</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the termination of the Merger Agreement in accordance with its terms.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the event of any termination of this Agreement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this Agreement shall forthwith become null and void and have no effect, without any liability on the part of any party hereto and their respective directors, officers, employees, partners, managers, members, or shareholders and all rights and obligations of each party shall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relieve either Parent or the Purchasing Party from liabilities or damages arising out of any fraud or willful breach by such party of any of its representations, warranties, covenants or agreements contained in this Agreement.</w:t>
      </w:r>
    </w:p>
    <w:p>
      <w:pPr>
        <w:spacing w:after="0" w:line="179" w:lineRule="exact"/>
        <w:rPr>
          <w:sz w:val="20"/>
          <w:szCs w:val="20"/>
          <w:color w:val="auto"/>
        </w:rPr>
      </w:pPr>
    </w:p>
    <w:p>
      <w:pPr>
        <w:ind w:left="1240" w:hanging="584"/>
        <w:spacing w:after="0"/>
        <w:tabs>
          <w:tab w:leader="none" w:pos="1240"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100" w:firstLine="1304"/>
        <w:spacing w:after="0" w:line="282" w:lineRule="auto"/>
        <w:tabs>
          <w:tab w:leader="none" w:pos="181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Representations</w:t>
      </w:r>
      <w:r>
        <w:rPr>
          <w:rFonts w:ascii="Times New Roman" w:cs="Times New Roman" w:eastAsia="Times New Roman" w:hAnsi="Times New Roman"/>
          <w:sz w:val="18"/>
          <w:szCs w:val="18"/>
          <w:color w:val="auto"/>
        </w:rPr>
        <w:t>. Subject to the limitations and other provisions of this Agreement, the representations and warranties contained herein shall survive the Share Purchase Closing and shall remain in full force and effect until the first anniversary of the Closing Date.</w:t>
      </w:r>
    </w:p>
    <w:p>
      <w:pPr>
        <w:spacing w:after="0" w:line="161" w:lineRule="exact"/>
        <w:rPr>
          <w:rFonts w:ascii="Times New Roman" w:cs="Times New Roman" w:eastAsia="Times New Roman" w:hAnsi="Times New Roman"/>
          <w:sz w:val="18"/>
          <w:szCs w:val="18"/>
          <w:color w:val="auto"/>
        </w:rPr>
      </w:pPr>
    </w:p>
    <w:p>
      <w:pPr>
        <w:ind w:right="200" w:firstLine="1304"/>
        <w:spacing w:after="0" w:line="256" w:lineRule="auto"/>
        <w:tabs>
          <w:tab w:leader="none" w:pos="1821"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(i) if by hand, electronic mail or nationally recognized overnight courier service, by 5:00 PM Pacific Time on a Business Day, addressee’s day and time, on the date of delivery, and if delivered after 5:00 PM Eastern Time, on the first Business Day after such delivery; (ii) if by email, on the date of transmission with affirmative confirmation of receipt; or (iii)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Parent,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Health Sciences Acquisitions Corporation 2</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RTW Investments, 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al@hsac2.com, gd@hsac2.com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17" w:name="page218"/>
    <w:bookmarkEnd w:id="217"/>
    <w:p>
      <w:pPr>
        <w:ind w:left="1300"/>
        <w:spacing w:after="0"/>
        <w:rPr>
          <w:sz w:val="20"/>
          <w:szCs w:val="20"/>
          <w:color w:val="auto"/>
        </w:rPr>
      </w:pPr>
      <w:r>
        <w:rPr>
          <w:rFonts w:ascii="Times New Roman" w:cs="Times New Roman" w:eastAsia="Times New Roman" w:hAnsi="Times New Roman"/>
          <w:sz w:val="18"/>
          <w:szCs w:val="18"/>
          <w:i w:val="1"/>
          <w:iCs w:val="1"/>
          <w:color w:val="auto"/>
        </w:rPr>
        <w:t>with a copy to Parent’s counsel (which shall not constitute notice) to</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345 Park Ave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Giovanni Caruso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gcaruso@loeb.com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communications sent to the Company shall be sent to: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Orchestra BioMed,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150 Union Square Drive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Hope PA 18938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David Hochman, Chairman &amp; CEO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DHochman@orchestrabiomed.com</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with a copy to the Company’s counsel (which shall not constitute notice) to:</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Samuel A. Waxman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samuelwaxman@paulhastings.com</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All communications to the Purchasing Party shall be sent to the Purchasing Party’s address as set forth on the signature page hereof, or to such e-mail address, facsimile number (if any) or address as subsequently modified by written notice given in accordance with this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960" w:hanging="656"/>
        <w:spacing w:after="0"/>
        <w:tabs>
          <w:tab w:leader="none" w:pos="19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No Waivers; Remedies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1952"/>
        <w:spacing w:after="0" w:line="266" w:lineRule="auto"/>
        <w:tabs>
          <w:tab w:leader="none" w:pos="2425"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75" w:lineRule="exact"/>
        <w:rPr>
          <w:rFonts w:ascii="Times New Roman" w:cs="Times New Roman" w:eastAsia="Times New Roman" w:hAnsi="Times New Roman"/>
          <w:sz w:val="18"/>
          <w:szCs w:val="18"/>
          <w:color w:val="auto"/>
        </w:rPr>
      </w:pPr>
    </w:p>
    <w:p>
      <w:pPr>
        <w:ind w:firstLine="1952"/>
        <w:spacing w:after="0" w:line="256" w:lineRule="auto"/>
        <w:tabs>
          <w:tab w:leader="none" w:pos="2479"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87" w:lineRule="exact"/>
        <w:rPr>
          <w:rFonts w:ascii="Times New Roman" w:cs="Times New Roman" w:eastAsia="Times New Roman" w:hAnsi="Times New Roman"/>
          <w:sz w:val="18"/>
          <w:szCs w:val="18"/>
          <w:color w:val="auto"/>
        </w:rPr>
      </w:pPr>
    </w:p>
    <w:p>
      <w:pPr>
        <w:ind w:right="200" w:firstLine="1952"/>
        <w:spacing w:after="0" w:line="282" w:lineRule="auto"/>
        <w:tabs>
          <w:tab w:leader="none" w:pos="2529"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no statement herein of any right or remedy shall impair any other right or remedy stated herein or that otherwise may be available.</w:t>
      </w:r>
    </w:p>
    <w:p>
      <w:pPr>
        <w:spacing w:after="0" w:line="161" w:lineRule="exact"/>
        <w:rPr>
          <w:rFonts w:ascii="Times New Roman" w:cs="Times New Roman" w:eastAsia="Times New Roman" w:hAnsi="Times New Roman"/>
          <w:sz w:val="18"/>
          <w:szCs w:val="18"/>
          <w:color w:val="auto"/>
        </w:rPr>
      </w:pPr>
    </w:p>
    <w:p>
      <w:pPr>
        <w:ind w:right="280" w:firstLine="1304"/>
        <w:spacing w:after="0" w:line="266" w:lineRule="auto"/>
        <w:tabs>
          <w:tab w:leader="none" w:pos="195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or Delegation</w:t>
      </w:r>
      <w:r>
        <w:rPr>
          <w:rFonts w:ascii="Times New Roman" w:cs="Times New Roman" w:eastAsia="Times New Roman" w:hAnsi="Times New Roman"/>
          <w:sz w:val="18"/>
          <w:szCs w:val="18"/>
          <w:color w:val="auto"/>
        </w:rPr>
        <w:t>. No party may assign any right or delegate any obligation hereunder, including by merger, consolidation, operation of law or otherwise, without the written consent of the other parties to this Agreement. Any purported assignment or delegation without such consent shall be void, in addition to constituting a material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18" w:name="page219"/>
    <w:bookmarkEnd w:id="218"/>
    <w:p>
      <w:pPr>
        <w:ind w:left="-1120" w:right="20" w:firstLine="1304"/>
        <w:spacing w:after="0" w:line="261" w:lineRule="auto"/>
        <w:tabs>
          <w:tab w:leader="none" w:pos="82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disputes or controversies arising out of or relating to this Agreement or the transactions contemplated hereby, including the applicable statute of limitations, shall be governed by and construed in accordance with the Laws of the State of New York, without giving effect to any choice of law or conflict of law provision or rule (whether of the State of New York or any other jurisdiction) that would cause the application of the Law of any jurisdiction other than the State of New York.</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80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signature pages that together (but need not individually) bear the signatures of all other parties.</w:t>
      </w:r>
    </w:p>
    <w:p>
      <w:pPr>
        <w:spacing w:after="0" w:line="179" w:lineRule="exact"/>
        <w:rPr>
          <w:rFonts w:ascii="Times New Roman" w:cs="Times New Roman" w:eastAsia="Times New Roman" w:hAnsi="Times New Roman"/>
          <w:sz w:val="18"/>
          <w:szCs w:val="18"/>
          <w:color w:val="auto"/>
        </w:rPr>
      </w:pPr>
    </w:p>
    <w:p>
      <w:pPr>
        <w:ind w:left="-1120" w:firstLine="1304"/>
        <w:spacing w:after="0" w:line="258" w:lineRule="auto"/>
        <w:tabs>
          <w:tab w:leader="none" w:pos="83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agreements referenced herein, sets forth the entire agreement of the parties with respect to the subject matter hereof and thereof and supersedes all prior and contemporaneous understandings and agreements related thereto (whether written or oral), all of which are merged herein. No provision of this Agreement may be explained or qualified by any agreement, negotiations, understanding, discussion, conduct or course of conduct or by any trade usage. Except as otherwise expressly stated herein, there is no condition precedent to the effectiveness of any provision hereof or thereof.</w:t>
      </w:r>
    </w:p>
    <w:p>
      <w:pPr>
        <w:spacing w:after="0" w:line="183" w:lineRule="exact"/>
        <w:rPr>
          <w:rFonts w:ascii="Times New Roman" w:cs="Times New Roman" w:eastAsia="Times New Roman" w:hAnsi="Times New Roman"/>
          <w:sz w:val="18"/>
          <w:szCs w:val="18"/>
          <w:color w:val="auto"/>
        </w:rPr>
      </w:pPr>
    </w:p>
    <w:p>
      <w:pPr>
        <w:ind w:left="-1120" w:firstLine="1304"/>
        <w:spacing w:after="0" w:line="261" w:lineRule="auto"/>
        <w:tabs>
          <w:tab w:leader="none" w:pos="83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79" w:lineRule="exact"/>
        <w:rPr>
          <w:rFonts w:ascii="Times New Roman" w:cs="Times New Roman" w:eastAsia="Times New Roman" w:hAnsi="Times New Roman"/>
          <w:sz w:val="18"/>
          <w:szCs w:val="18"/>
          <w:color w:val="auto"/>
        </w:rPr>
      </w:pPr>
    </w:p>
    <w:p>
      <w:pPr>
        <w:ind w:left="-1120" w:right="40" w:firstLine="1304"/>
        <w:spacing w:after="0" w:line="253" w:lineRule="auto"/>
        <w:tabs>
          <w:tab w:leader="none" w:pos="79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Any reference to any federal, state, local or foreign Law will be deemed also to refer to Law as amended and all rules and regulations promulgated thereunder, unless the context requires otherwise. The words “</w:t>
      </w:r>
      <w:r>
        <w:rPr>
          <w:rFonts w:ascii="Times New Roman" w:cs="Times New Roman" w:eastAsia="Times New Roman" w:hAnsi="Times New Roman"/>
          <w:sz w:val="18"/>
          <w:szCs w:val="18"/>
          <w:i w:val="1"/>
          <w:i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will be deemed to be followed by “</w:t>
      </w:r>
      <w:r>
        <w:rPr>
          <w:rFonts w:ascii="Times New Roman" w:cs="Times New Roman" w:eastAsia="Times New Roman" w:hAnsi="Times New Roman"/>
          <w:sz w:val="18"/>
          <w:szCs w:val="18"/>
          <w:i w:val="1"/>
          <w:iCs w:val="1"/>
          <w:color w:val="auto"/>
        </w:rPr>
        <w:t>without limitation</w:t>
      </w:r>
      <w:r>
        <w:rPr>
          <w:rFonts w:ascii="Times New Roman" w:cs="Times New Roman" w:eastAsia="Times New Roman" w:hAnsi="Times New Roman"/>
          <w:sz w:val="18"/>
          <w:szCs w:val="18"/>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Times New Roman" w:cs="Times New Roman" w:eastAsia="Times New Roman" w:hAnsi="Times New Roman"/>
          <w:sz w:val="18"/>
          <w:szCs w:val="18"/>
          <w:i w:val="1"/>
          <w:iCs w:val="1"/>
          <w:color w:val="auto"/>
        </w:rPr>
        <w:t>this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hereby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hereunder</w:t>
      </w:r>
      <w:r>
        <w:rPr>
          <w:rFonts w:ascii="Times New Roman" w:cs="Times New Roman" w:eastAsia="Times New Roman" w:hAnsi="Times New Roman"/>
          <w:sz w:val="18"/>
          <w:szCs w:val="18"/>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431800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37" w:right="359" w:bottom="1440" w:gutter="0" w:footer="0" w:header="0"/>
        </w:sectPr>
      </w:pPr>
    </w:p>
    <w:bookmarkStart w:id="219" w:name="page220"/>
    <w:bookmarkEnd w:id="219"/>
    <w:p>
      <w:pPr>
        <w:ind w:left="-80" w:firstLine="1304"/>
        <w:spacing w:after="0" w:line="253" w:lineRule="auto"/>
        <w:tabs>
          <w:tab w:leader="none" w:pos="183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a party hereto,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455930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337" w:right="3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executed this Agreement to be effective as of the date first set forth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PURCHASING PARTY:</w:t>
      </w:r>
    </w:p>
    <w:p>
      <w:pPr>
        <w:spacing w:after="0" w:line="2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Covidien Group S.à.r.l.</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c/o Medtronic, Inc.</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Operational Headquarters</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710 Medtronic Parkway</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Minneapolis, MN 55432-5604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549" w:right="1440" w:bottom="1440" w:gutter="0" w:footer="0" w:header="0"/>
        </w:sectPr>
      </w:pPr>
    </w:p>
    <w:bookmarkStart w:id="221" w:name="page222"/>
    <w:bookmarkEnd w:id="221"/>
    <w:p>
      <w:pPr>
        <w:ind w:left="452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Health Sciences Acquisitions Corporation 2</w:t>
      </w:r>
    </w:p>
    <w:p>
      <w:pPr>
        <w:spacing w:after="0" w:line="22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24765</wp:posOffset>
            </wp:positionV>
            <wp:extent cx="33432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22" w:name="page223"/>
    <w:bookmarkEnd w:id="222"/>
    <w:p>
      <w:pPr>
        <w:ind w:left="45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Orchestra BioMed, Inc.</w:t>
      </w:r>
    </w:p>
    <w:p>
      <w:pPr>
        <w:spacing w:after="0" w:line="20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24765</wp:posOffset>
            </wp:positionV>
            <wp:extent cx="334327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David Hochman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I</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BACKSTOP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Backstop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 2022, by and among Health Sciences Acquisitions Corporation 2, a Cayman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Islands exempted company (which shall deregister in the Cayman Islands and domesticate as a Delaware corporation prior to the Merger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Orchestra BioMed,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purchasing parties signatory hereto (the “</w:t>
      </w:r>
      <w:r>
        <w:rPr>
          <w:rFonts w:ascii="Times New Roman" w:cs="Times New Roman" w:eastAsia="Times New Roman" w:hAnsi="Times New Roman"/>
          <w:sz w:val="18"/>
          <w:szCs w:val="18"/>
          <w:u w:val="single" w:color="auto"/>
          <w:color w:val="auto"/>
        </w:rPr>
        <w:t>Purchasing Parties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in this Agreement shall have the meanings ascribed to such terms in that certain Agreement and Plan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the date of this Agreement, by and among Parent, the Company and HSAC Olympus Merger Sub, Inc.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WHEREAS, in connection with the entry into the Merger Agreement, the Purchasing Parties have agreed to purchase up to 5,000,000 shares of Parent Ordinary Shares at a price of $10.00 per share to the extent that the number of shares of Parent Ordinary Shares that are redeemed in connection with the consummation of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would result in the Parent receiving less than the Closing Cash Amount (as defined below), on the terms and conditions set forth herein (the “</w:t>
      </w:r>
      <w:r>
        <w:rPr>
          <w:rFonts w:ascii="Times New Roman" w:cs="Times New Roman" w:eastAsia="Times New Roman" w:hAnsi="Times New Roman"/>
          <w:sz w:val="18"/>
          <w:szCs w:val="18"/>
          <w:u w:val="single" w:color="auto"/>
          <w:color w:val="auto"/>
        </w:rPr>
        <w:t>Backstop Commitment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representations, warranties and the mutual covenants contained in this Agreement, and for other good and valuable consideration, the receipt, sufficiency and adequacy of which are hereby acknowledged, the parties hereto agree as follows:</w:t>
      </w:r>
    </w:p>
    <w:p>
      <w:pPr>
        <w:spacing w:after="0" w:line="158" w:lineRule="exact"/>
        <w:rPr>
          <w:sz w:val="20"/>
          <w:szCs w:val="20"/>
          <w:color w:val="auto"/>
        </w:rPr>
      </w:pPr>
    </w:p>
    <w:p>
      <w:pPr>
        <w:ind w:left="1280" w:hanging="624"/>
        <w:spacing w:after="0"/>
        <w:tabs>
          <w:tab w:leader="none" w:pos="128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Backstop Shares.</w:t>
      </w:r>
    </w:p>
    <w:p>
      <w:pPr>
        <w:spacing w:after="0" w:line="229" w:lineRule="exact"/>
        <w:rPr>
          <w:rFonts w:ascii="Times New Roman" w:cs="Times New Roman" w:eastAsia="Times New Roman" w:hAnsi="Times New Roman"/>
          <w:sz w:val="18"/>
          <w:szCs w:val="18"/>
          <w:b w:val="1"/>
          <w:bCs w:val="1"/>
          <w:color w:val="auto"/>
        </w:rPr>
      </w:pPr>
    </w:p>
    <w:p>
      <w:pPr>
        <w:ind w:right="60" w:firstLine="1304"/>
        <w:spacing w:after="0" w:line="258" w:lineRule="auto"/>
        <w:tabs>
          <w:tab w:leader="none" w:pos="190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Backstop Subscription</w:t>
      </w:r>
      <w:r>
        <w:rPr>
          <w:rFonts w:ascii="Times New Roman" w:cs="Times New Roman" w:eastAsia="Times New Roman" w:hAnsi="Times New Roman"/>
          <w:sz w:val="18"/>
          <w:szCs w:val="18"/>
          <w:color w:val="auto"/>
        </w:rPr>
        <w:t>. Subject to, and contingent upon, the amount of Parent Closing Cash as of immediately prior to the Merger Closing (the “</w:t>
      </w:r>
      <w:r>
        <w:rPr>
          <w:rFonts w:ascii="Times New Roman" w:cs="Times New Roman" w:eastAsia="Times New Roman" w:hAnsi="Times New Roman"/>
          <w:sz w:val="18"/>
          <w:szCs w:val="18"/>
          <w:u w:val="single" w:color="auto"/>
          <w:color w:val="auto"/>
        </w:rPr>
        <w:t>Closing Cash Amount</w:t>
      </w:r>
      <w:r>
        <w:rPr>
          <w:rFonts w:ascii="Times New Roman" w:cs="Times New Roman" w:eastAsia="Times New Roman" w:hAnsi="Times New Roman"/>
          <w:sz w:val="18"/>
          <w:szCs w:val="18"/>
          <w:color w:val="auto"/>
        </w:rPr>
        <w:t>”) being less than that necessary to satisfy the Minimum Available Cash Condition (such deficit, the “</w:t>
      </w:r>
      <w:r>
        <w:rPr>
          <w:rFonts w:ascii="Times New Roman" w:cs="Times New Roman" w:eastAsia="Times New Roman" w:hAnsi="Times New Roman"/>
          <w:sz w:val="18"/>
          <w:szCs w:val="18"/>
          <w:u w:val="single" w:color="auto"/>
          <w:color w:val="auto"/>
        </w:rPr>
        <w:t>Backstop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Parent shall issue and sell to the Purchasing Parties, and the Purchasing Parties shall purchase from Parent, a number of Parent Ordinary Shares equal to the quotient of (i) the Backstop Subscription Amount, divided by (ii) $10.00 (the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rounded down to the nearest whole number (the “</w:t>
      </w:r>
      <w:r>
        <w:rPr>
          <w:rFonts w:ascii="Times New Roman" w:cs="Times New Roman" w:eastAsia="Times New Roman" w:hAnsi="Times New Roman"/>
          <w:sz w:val="18"/>
          <w:szCs w:val="18"/>
          <w:u w:val="single" w:color="auto"/>
          <w:color w:val="auto"/>
        </w:rPr>
        <w:t>Backstop Shares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340" w:firstLine="1304"/>
        <w:spacing w:after="0" w:line="282" w:lineRule="auto"/>
        <w:tabs>
          <w:tab w:leader="none" w:pos="191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As soon as reasonably practicable following completion of the Parent Shareholder Redemption, Parent shall deliver a written notice (the “</w:t>
      </w: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to the Purchasing Parties (with a copy sent concurrently to the Company) setting forth:</w:t>
      </w:r>
    </w:p>
    <w:p>
      <w:pPr>
        <w:spacing w:after="0" w:line="161"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Redemption Amount;</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Cash Amount;</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Backstop Subscription Amount;</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Backstop Shares; and</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Closing Date.</w:t>
      </w:r>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for the avoidance of doubt, the “Backstop Subscription Amount” shall be finally calculated without including any Parent Ordinary Shares subject to the Parent Shareholder Redemption that have been offered for redemption but subsequently and validly withdrawn by the applicable holder in accordance with the Parent’s amended and restated memorandum and articles of association, the Cayman Islands Companies Act or other applicable law. The delivery of the Funding Notice hereunder shall serve as notice to the Sponsor that it will be required to pay the Backstop Subscription Amount and acquire the Backstop Shares, if any, pursuant to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4" w:name="page225"/>
    <w:bookmarkEnd w:id="224"/>
    <w:p>
      <w:pPr>
        <w:ind w:left="624" w:hanging="624"/>
        <w:spacing w:after="0"/>
        <w:tabs>
          <w:tab w:leader="none" w:pos="624"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Purchase Closing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656" w:right="60" w:firstLine="1304"/>
        <w:spacing w:after="0" w:line="255" w:lineRule="auto"/>
        <w:tabs>
          <w:tab w:leader="none" w:pos="1244"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closing of the sale of the Backstop Shares, if any (the “</w:t>
      </w:r>
      <w:r>
        <w:rPr>
          <w:rFonts w:ascii="Times New Roman" w:cs="Times New Roman" w:eastAsia="Times New Roman" w:hAnsi="Times New Roman"/>
          <w:sz w:val="18"/>
          <w:szCs w:val="18"/>
          <w:u w:val="single" w:color="auto"/>
          <w:color w:val="auto"/>
        </w:rPr>
        <w:t>Share Purchase Closing</w:t>
      </w:r>
      <w:r>
        <w:rPr>
          <w:rFonts w:ascii="Times New Roman" w:cs="Times New Roman" w:eastAsia="Times New Roman" w:hAnsi="Times New Roman"/>
          <w:sz w:val="18"/>
          <w:szCs w:val="18"/>
          <w:color w:val="auto"/>
        </w:rPr>
        <w:t xml:space="preserve">”), shall be held on the Closing Date, immediately prior to the Domestication. At the Share Purchase Closing, Parent will issue to the Purchasing Parties, collectively, the Backstop Shares against (and concurrently with) the payment of the Backstop Subscription Amount to Parent. Such issuance will be made in the amounts to each Purchasing Party set forth in written instructions provided by the Purchasing Parties to Parent (with a copy sent concurrently to the Company). All payments required to be made to Parent by the Purchasing Parties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shall be made by wire transfer of immediately available funds pursuant to written instructions provided by Parent to the Purchasing Parties (with a copy sent concurrently to the Company). For the avoidance of doubt, the payment obligations of the Purchasing Parties under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are joint and several..</w:t>
      </w:r>
    </w:p>
    <w:p>
      <w:pPr>
        <w:spacing w:after="0" w:line="188" w:lineRule="exact"/>
        <w:rPr>
          <w:rFonts w:ascii="Times New Roman" w:cs="Times New Roman" w:eastAsia="Times New Roman" w:hAnsi="Times New Roman"/>
          <w:sz w:val="18"/>
          <w:szCs w:val="18"/>
          <w:color w:val="auto"/>
        </w:rPr>
      </w:pPr>
    </w:p>
    <w:p>
      <w:pPr>
        <w:ind w:left="1264" w:hanging="616"/>
        <w:spacing w:after="0"/>
        <w:tabs>
          <w:tab w:leader="none" w:pos="1264"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Backstop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right="100" w:firstLine="1952"/>
        <w:spacing w:after="0" w:line="266" w:lineRule="auto"/>
        <w:tabs>
          <w:tab w:leader="none" w:pos="1773" w:val="left"/>
        </w:tabs>
        <w:numPr>
          <w:ilvl w:val="2"/>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register each Purchasing Party as the owner of the Backstop Shares it was issued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on Parent’s share register and with Parent’s transfer agent by book entry on or promptly after (but in no event more than two (2) Business Days after) the date of the Share Purchase Closing.</w:t>
      </w:r>
    </w:p>
    <w:p>
      <w:pPr>
        <w:spacing w:after="0" w:line="175" w:lineRule="exact"/>
        <w:rPr>
          <w:rFonts w:ascii="Times New Roman" w:cs="Times New Roman" w:eastAsia="Times New Roman" w:hAnsi="Times New Roman"/>
          <w:sz w:val="18"/>
          <w:szCs w:val="18"/>
          <w:color w:val="auto"/>
        </w:rPr>
      </w:pPr>
    </w:p>
    <w:p>
      <w:pPr>
        <w:ind w:left="-656" w:right="240" w:firstLine="1952"/>
        <w:spacing w:after="0" w:line="282" w:lineRule="auto"/>
        <w:tabs>
          <w:tab w:leader="none" w:pos="1823" w:val="left"/>
        </w:tabs>
        <w:numPr>
          <w:ilvl w:val="2"/>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register and book entry for any Backstop Shares shall contain a notation, and each certificate (if any) evidencing such Backstop Shares shall be stamped or otherwise imprinted with a legend, in substantially the following form:</w:t>
      </w:r>
    </w:p>
    <w:p>
      <w:pPr>
        <w:spacing w:after="0" w:line="162" w:lineRule="exact"/>
        <w:rPr>
          <w:sz w:val="20"/>
          <w:szCs w:val="20"/>
          <w:color w:val="auto"/>
        </w:rPr>
      </w:pPr>
    </w:p>
    <w:p>
      <w:pPr>
        <w:ind w:left="4" w:right="520"/>
        <w:spacing w:after="0" w:line="266"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U.S. SECURITIES ACT OF 1933, AS AMENDED, OR THE SECURITIES LAWS OF ANY STATE OR OTHER JURISDICTION, AND MAY NOT BE TRANSFERRED IN VIOLATION OF SUCH ACT AND LAWS.”</w:t>
      </w:r>
    </w:p>
    <w:p>
      <w:pPr>
        <w:spacing w:after="0" w:line="176" w:lineRule="exact"/>
        <w:rPr>
          <w:sz w:val="20"/>
          <w:szCs w:val="20"/>
          <w:color w:val="auto"/>
        </w:rPr>
      </w:pPr>
    </w:p>
    <w:p>
      <w:pPr>
        <w:ind w:left="-656" w:right="60" w:firstLine="1304"/>
        <w:spacing w:after="0" w:line="266" w:lineRule="auto"/>
        <w:tabs>
          <w:tab w:leader="none" w:pos="1155"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sales permitted pursuant to Rule 144 promulgated under the Exchange Act, if required by Parent’s transfer agent, Parent will, if required, promptly cause an opinion of counsel to be delivered to its transfer agent, together with any other authorizations, certificates and directions required by the transfer agent that authorize and direct the transfer agent to transfer such Backstop Shares without any such legend.</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1165"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 Purchasing Parties shall have registration rights with respect to their respective Backstop Shares as set forth in the Registration Rights Agreement that will be entered into by and among Parent, the Purchasing Parties, the Company and certain other parties thereto in connection with the consummation of the Transactions and the form of which is attached to the Merger Agreement as Exhibit E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56" w:right="120" w:firstLine="1304"/>
        <w:spacing w:after="0" w:line="266" w:lineRule="auto"/>
        <w:tabs>
          <w:tab w:leader="none" w:pos="1154"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Notional Amounts</w:t>
      </w:r>
      <w:r>
        <w:rPr>
          <w:rFonts w:ascii="Times New Roman" w:cs="Times New Roman" w:eastAsia="Times New Roman" w:hAnsi="Times New Roman"/>
          <w:sz w:val="18"/>
          <w:szCs w:val="18"/>
          <w:color w:val="auto"/>
        </w:rPr>
        <w:t>. In the event of any change to the capital structure of Parent, whether dilutive or otherwise, by way of a share dividend, share split, or any other similar transaction however described, the Per Share Price will be adjusted as necessary to account for such changes.</w:t>
      </w:r>
    </w:p>
    <w:p>
      <w:pPr>
        <w:spacing w:after="0" w:line="171" w:lineRule="exact"/>
        <w:rPr>
          <w:rFonts w:ascii="Times New Roman" w:cs="Times New Roman" w:eastAsia="Times New Roman" w:hAnsi="Times New Roman"/>
          <w:sz w:val="18"/>
          <w:szCs w:val="18"/>
          <w:color w:val="auto"/>
        </w:rPr>
      </w:pPr>
    </w:p>
    <w:p>
      <w:pPr>
        <w:ind w:left="-656" w:right="240" w:firstLine="656"/>
        <w:spacing w:after="0" w:line="286" w:lineRule="auto"/>
        <w:tabs>
          <w:tab w:leader="none" w:pos="622"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Purchasing Parties</w:t>
      </w:r>
      <w:r>
        <w:rPr>
          <w:rFonts w:ascii="Times New Roman" w:cs="Times New Roman" w:eastAsia="Times New Roman" w:hAnsi="Times New Roman"/>
          <w:sz w:val="18"/>
          <w:szCs w:val="18"/>
          <w:color w:val="auto"/>
        </w:rPr>
        <w:t>. Each Purchasing Party represents and warrants, jointly and severally,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Parent and the Company as follows:</w:t>
      </w:r>
    </w:p>
    <w:p>
      <w:pPr>
        <w:spacing w:after="0" w:line="158" w:lineRule="exact"/>
        <w:rPr>
          <w:rFonts w:ascii="Times New Roman" w:cs="Times New Roman" w:eastAsia="Times New Roman" w:hAnsi="Times New Roman"/>
          <w:sz w:val="18"/>
          <w:szCs w:val="18"/>
          <w:b w:val="1"/>
          <w:bCs w:val="1"/>
          <w:color w:val="auto"/>
        </w:rPr>
      </w:pPr>
    </w:p>
    <w:p>
      <w:pPr>
        <w:ind w:left="-656" w:right="240" w:firstLine="1304"/>
        <w:spacing w:after="0" w:line="282" w:lineRule="auto"/>
        <w:tabs>
          <w:tab w:leader="none" w:pos="1154"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Such Purchasing Party is duly organized, validly existing, and in good standing under the Laws of the jurisdiction of its formation and has all requisite power and authority to carry on its business as presently conducted and as proposed to be conducted.</w:t>
      </w:r>
    </w:p>
    <w:p>
      <w:pPr>
        <w:spacing w:after="0" w:line="161" w:lineRule="exact"/>
        <w:rPr>
          <w:rFonts w:ascii="Times New Roman" w:cs="Times New Roman" w:eastAsia="Times New Roman" w:hAnsi="Times New Roman"/>
          <w:sz w:val="18"/>
          <w:szCs w:val="18"/>
          <w:color w:val="auto"/>
        </w:rPr>
      </w:pPr>
    </w:p>
    <w:p>
      <w:pPr>
        <w:ind w:left="-656" w:right="20" w:firstLine="1304"/>
        <w:spacing w:after="0" w:line="256" w:lineRule="auto"/>
        <w:tabs>
          <w:tab w:leader="none" w:pos="1165"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Such Purchasing Party has full power and authority to enter into this Agreement. This Agreement, when executed and delivered by such Purchasing Party, will constitute the valid and legally binding obligation of such Purchasing Party, enforceable in accordance with its terms, except (i) as limited by applicable bankruptcy, insolvency, reorganization, moratorium, fraudulent conveyance and any other Laws of general application affecting enforcement of creditors’ rights generally, (ii) as limited by Laws relating to the availability of specific performance, injunctive relief or other equitable remedies, or (iii) to the extent the indemnification provisions contained in the Registration Rights Agreement may be limited by applicable federal or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430530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3" w:right="359" w:bottom="1440" w:gutter="0" w:footer="0" w:header="0"/>
        </w:sectPr>
      </w:pPr>
    </w:p>
    <w:bookmarkStart w:id="225" w:name="page226"/>
    <w:bookmarkEnd w:id="225"/>
    <w:p>
      <w:pPr>
        <w:ind w:right="300" w:firstLine="1304"/>
        <w:spacing w:after="0" w:line="266" w:lineRule="auto"/>
        <w:tabs>
          <w:tab w:leader="none" w:pos="181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Consents and Filings</w:t>
      </w:r>
      <w:r>
        <w:rPr>
          <w:rFonts w:ascii="Times New Roman" w:cs="Times New Roman" w:eastAsia="Times New Roman" w:hAnsi="Times New Roman"/>
          <w:sz w:val="18"/>
          <w:szCs w:val="18"/>
          <w:color w:val="auto"/>
        </w:rPr>
        <w:t>. No consent, approval, order or authorization of, or registration, qualification, designation, declaration or filing with, any federal, state or local governmental authority is required on the part of such Purchasing Party in connection with the consummation of the transactions contemplated by this Agreement.</w:t>
      </w:r>
    </w:p>
    <w:p>
      <w:pPr>
        <w:spacing w:after="0" w:line="175" w:lineRule="exact"/>
        <w:rPr>
          <w:rFonts w:ascii="Times New Roman" w:cs="Times New Roman" w:eastAsia="Times New Roman" w:hAnsi="Times New Roman"/>
          <w:sz w:val="18"/>
          <w:szCs w:val="18"/>
          <w:color w:val="auto"/>
        </w:rPr>
      </w:pPr>
    </w:p>
    <w:p>
      <w:pPr>
        <w:ind w:right="180" w:firstLine="1304"/>
        <w:spacing w:after="0" w:line="255" w:lineRule="auto"/>
        <w:tabs>
          <w:tab w:leader="none" w:pos="1821"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execution, delivery and performance by such Purchasing Party of this Agreement and the consummation by such Purchasing Party of the transactions contemplated by this Agreement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 (v) of any provision of federal or state statute, rule or regulation applicable to such Purchasing Party, in each case (other than clause (i)), which would have a material adverse effect on such Purchasing Party or its ability to consummate the transactions contemplated by this Agreement.</w:t>
      </w:r>
    </w:p>
    <w:p>
      <w:pPr>
        <w:spacing w:after="0" w:line="188" w:lineRule="exact"/>
        <w:rPr>
          <w:rFonts w:ascii="Times New Roman" w:cs="Times New Roman" w:eastAsia="Times New Roman" w:hAnsi="Times New Roman"/>
          <w:sz w:val="18"/>
          <w:szCs w:val="18"/>
          <w:color w:val="auto"/>
        </w:rPr>
      </w:pPr>
    </w:p>
    <w:p>
      <w:pPr>
        <w:ind w:firstLine="1304"/>
        <w:spacing w:after="0" w:line="255" w:lineRule="auto"/>
        <w:tabs>
          <w:tab w:leader="none" w:pos="181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such Purchasing Party in reliance upon such Purchasing Party’s representation to Parent, which by such Purchasing Party’s execution of this Agreement, such Purchasing Party hereby confirms, that its Backstop Shares to be acquired by such Purchasing Party will be acquired for investment for such Purchasing Party’s own account, not as a nominee or agent, and not with a view to the resale or distribution of any part thereof, and that such Purchasing Party has no present intention of selling, granting any participation in, or otherwise distributing the same in violation of Law. By executing this Agreement, such Purchasing Party further represents that such Purchasing Party does not presently have any contract, undertaking, agreement or arrangement with any Person to sell, transfer or grant participations to such Person or to any third Person, with respect to any of its Backstop Shares.</w:t>
      </w:r>
    </w:p>
    <w:p>
      <w:pPr>
        <w:spacing w:after="0" w:line="188" w:lineRule="exact"/>
        <w:rPr>
          <w:rFonts w:ascii="Times New Roman" w:cs="Times New Roman" w:eastAsia="Times New Roman" w:hAnsi="Times New Roman"/>
          <w:sz w:val="18"/>
          <w:szCs w:val="18"/>
          <w:color w:val="auto"/>
        </w:rPr>
      </w:pPr>
    </w:p>
    <w:p>
      <w:pPr>
        <w:ind w:right="380" w:firstLine="1304"/>
        <w:spacing w:after="0" w:line="266" w:lineRule="auto"/>
        <w:tabs>
          <w:tab w:leader="none" w:pos="179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Such Purchasing Party has had an opportunity to discuss Parent’s existing and planned or expected business, management, financial affairs and the terms and conditions of the purchase and sale of its Backstop Shares, as well as the terms of the Transactions, with Parent’s management.</w:t>
      </w:r>
    </w:p>
    <w:p>
      <w:pPr>
        <w:spacing w:after="0" w:line="175" w:lineRule="exact"/>
        <w:rPr>
          <w:rFonts w:ascii="Times New Roman" w:cs="Times New Roman" w:eastAsia="Times New Roman" w:hAnsi="Times New Roman"/>
          <w:sz w:val="18"/>
          <w:szCs w:val="18"/>
          <w:color w:val="auto"/>
        </w:rPr>
      </w:pPr>
    </w:p>
    <w:p>
      <w:pPr>
        <w:ind w:firstLine="1304"/>
        <w:spacing w:after="0" w:line="253" w:lineRule="auto"/>
        <w:tabs>
          <w:tab w:leader="none" w:pos="1821"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Backstop Shares</w:t>
      </w:r>
      <w:r>
        <w:rPr>
          <w:rFonts w:ascii="Times New Roman" w:cs="Times New Roman" w:eastAsia="Times New Roman" w:hAnsi="Times New Roman"/>
          <w:sz w:val="18"/>
          <w:szCs w:val="18"/>
          <w:color w:val="auto"/>
        </w:rPr>
        <w:t>. Such Purchasing Party understands that the offer and sale of its Backstop Shares to such Purchasing Party has not been, and will not be, registered under the Securities Act, by reason of a specific exemption from the registration provisions of the Securities Act which depends upon, among other things, the bona fide nature of the investment intent and the accuracy of such Purchasing Party’s representations as expressed herein. Such Purchasing Party understands that its Backstop Shares are “restricted securities” under applicable U.S. federal and state securities Laws and that, pursuant to these Laws, such Purchasing Party must hold its Backstop Shares indefinitely unless they are registered with the SEC and qualified by state authorities, or an exemption from such registration and qualification requirements is available. Such Purchasing Party acknowledges that Parent has no obligation to register or qualify its Backstop Shares, or any securities into which its Backstop Shares may be converted into or exercised for, for resale, except pursuant to the Registration Rights Agreement. Such Purchasing Party further acknowledges that if an exemption from registration or qualification is available, it may be conditioned on various requirements including, but not limited to, the time and manner of sale, the holding period for its Backstop Shares, and on requirements relating to Parent which are outside of such Purchasing Party’s control, and which Parent is under no obligation and may not be able to satisfy.</w:t>
      </w:r>
    </w:p>
    <w:p>
      <w:pPr>
        <w:spacing w:after="0" w:line="191" w:lineRule="exact"/>
        <w:rPr>
          <w:rFonts w:ascii="Times New Roman" w:cs="Times New Roman" w:eastAsia="Times New Roman" w:hAnsi="Times New Roman"/>
          <w:sz w:val="18"/>
          <w:szCs w:val="18"/>
          <w:color w:val="auto"/>
        </w:rPr>
      </w:pPr>
    </w:p>
    <w:p>
      <w:pPr>
        <w:ind w:right="500" w:firstLine="1304"/>
        <w:spacing w:after="0" w:line="282" w:lineRule="auto"/>
        <w:tabs>
          <w:tab w:leader="none" w:pos="1821"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High Degree of Risk</w:t>
      </w:r>
      <w:r>
        <w:rPr>
          <w:rFonts w:ascii="Times New Roman" w:cs="Times New Roman" w:eastAsia="Times New Roman" w:hAnsi="Times New Roman"/>
          <w:sz w:val="18"/>
          <w:szCs w:val="18"/>
          <w:color w:val="auto"/>
        </w:rPr>
        <w:t>. Such Purchasing Party understands that its agreement to purchase its Backstop Shares involves a high degree of risk, which could cause such Purchasing Party to lose all or part of its investment.</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Such Purchasing Party is an “accredited investor” as defined in Rule 501(a) of Regulation D promulgated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w:t>
      </w:r>
    </w:p>
    <w:p>
      <w:pPr>
        <w:spacing w:after="0" w:line="206" w:lineRule="exact"/>
        <w:rPr>
          <w:rFonts w:ascii="Times New Roman" w:cs="Times New Roman" w:eastAsia="Times New Roman" w:hAnsi="Times New Roman"/>
          <w:sz w:val="18"/>
          <w:szCs w:val="18"/>
          <w:color w:val="auto"/>
        </w:rPr>
      </w:pPr>
    </w:p>
    <w:p>
      <w:pPr>
        <w:ind w:right="80" w:firstLine="1304"/>
        <w:spacing w:after="0" w:line="266" w:lineRule="auto"/>
        <w:tabs>
          <w:tab w:leader="none" w:pos="1781"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such Purchasing Party, nor any of its officers, directors, employees, agents, stockholders or partners has either directly or indirectly, including, through a broker or finder (i) to its knowledge, engaged in any general solicitation, or (ii) published any advertisement in connection with the purchase and sale of its Backstop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6" w:name="page227"/>
    <w:bookmarkEnd w:id="226"/>
    <w:p>
      <w:pPr>
        <w:ind w:left="-656" w:right="20" w:firstLine="1304"/>
        <w:spacing w:after="0" w:line="282" w:lineRule="auto"/>
        <w:tabs>
          <w:tab w:leader="none" w:pos="1165"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Such Purchasing Party acknowledges its obligations under applicable securities Laws with respect to the treatment of material non-public information relating to Parent.</w:t>
      </w:r>
    </w:p>
    <w:p>
      <w:pPr>
        <w:spacing w:after="0" w:line="161" w:lineRule="exact"/>
        <w:rPr>
          <w:rFonts w:ascii="Times New Roman" w:cs="Times New Roman" w:eastAsia="Times New Roman" w:hAnsi="Times New Roman"/>
          <w:sz w:val="18"/>
          <w:szCs w:val="18"/>
          <w:color w:val="auto"/>
        </w:rPr>
      </w:pPr>
    </w:p>
    <w:p>
      <w:pPr>
        <w:ind w:left="-656" w:firstLine="1304"/>
        <w:spacing w:after="0" w:line="282" w:lineRule="auto"/>
        <w:tabs>
          <w:tab w:leader="none" w:pos="1125"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Adequacy of Financing</w:t>
      </w:r>
      <w:r>
        <w:rPr>
          <w:rFonts w:ascii="Times New Roman" w:cs="Times New Roman" w:eastAsia="Times New Roman" w:hAnsi="Times New Roman"/>
          <w:sz w:val="18"/>
          <w:szCs w:val="18"/>
          <w:color w:val="auto"/>
        </w:rPr>
        <w:t>. Such Purchasing Party will have at the Share Purchase Closing available to it sufficient funds to satisfy its obligations under this Agreement.</w:t>
      </w:r>
    </w:p>
    <w:p>
      <w:pPr>
        <w:spacing w:after="0" w:line="161" w:lineRule="exact"/>
        <w:rPr>
          <w:rFonts w:ascii="Times New Roman" w:cs="Times New Roman" w:eastAsia="Times New Roman" w:hAnsi="Times New Roman"/>
          <w:sz w:val="18"/>
          <w:szCs w:val="18"/>
          <w:color w:val="auto"/>
        </w:rPr>
      </w:pPr>
    </w:p>
    <w:p>
      <w:pPr>
        <w:ind w:left="-656" w:right="100" w:firstLine="1304"/>
        <w:spacing w:after="0" w:line="312" w:lineRule="auto"/>
        <w:tabs>
          <w:tab w:leader="none" w:pos="1215"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Affiliation of Certain FINRA Members</w:t>
      </w:r>
      <w:r>
        <w:rPr>
          <w:rFonts w:ascii="Times New Roman" w:cs="Times New Roman" w:eastAsia="Times New Roman" w:hAnsi="Times New Roman"/>
          <w:sz w:val="17"/>
          <w:szCs w:val="17"/>
          <w:color w:val="auto"/>
        </w:rPr>
        <w:t>. Such Purchasing Party is neither a person associated nor affiliated with any underwriter of the IPO or, to its actual knowledge, any other member of the Financial Industry Regulatory Authority (“</w:t>
      </w:r>
      <w:r>
        <w:rPr>
          <w:rFonts w:ascii="Times New Roman" w:cs="Times New Roman" w:eastAsia="Times New Roman" w:hAnsi="Times New Roman"/>
          <w:sz w:val="17"/>
          <w:szCs w:val="17"/>
          <w:u w:val="single" w:color="auto"/>
          <w:color w:val="auto"/>
        </w:rPr>
        <w:t>FINRA</w:t>
      </w:r>
      <w:r>
        <w:rPr>
          <w:rFonts w:ascii="Times New Roman" w:cs="Times New Roman" w:eastAsia="Times New Roman" w:hAnsi="Times New Roman"/>
          <w:sz w:val="17"/>
          <w:szCs w:val="17"/>
          <w:color w:val="auto"/>
        </w:rPr>
        <w:t>”) that participated in the IPO.</w:t>
      </w:r>
    </w:p>
    <w:p>
      <w:pPr>
        <w:spacing w:after="0" w:line="139" w:lineRule="exact"/>
        <w:rPr>
          <w:rFonts w:ascii="Times New Roman" w:cs="Times New Roman" w:eastAsia="Times New Roman" w:hAnsi="Times New Roman"/>
          <w:sz w:val="17"/>
          <w:szCs w:val="17"/>
          <w:color w:val="auto"/>
        </w:rPr>
      </w:pPr>
    </w:p>
    <w:p>
      <w:pPr>
        <w:ind w:left="-656" w:right="220" w:firstLine="1304"/>
        <w:spacing w:after="0" w:line="282" w:lineRule="auto"/>
        <w:tabs>
          <w:tab w:leader="none" w:pos="1165"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Finder’s Fees</w:t>
      </w:r>
      <w:r>
        <w:rPr>
          <w:rFonts w:ascii="Times New Roman" w:cs="Times New Roman" w:eastAsia="Times New Roman" w:hAnsi="Times New Roman"/>
          <w:sz w:val="18"/>
          <w:szCs w:val="18"/>
          <w:color w:val="auto"/>
        </w:rPr>
        <w:t>. Such Purchasing Party is not and will not be obligated for any finder’s fee or commission in connection with the transactions contemplated by this Agreement.</w:t>
      </w:r>
    </w:p>
    <w:p>
      <w:pPr>
        <w:spacing w:after="0" w:line="161" w:lineRule="exact"/>
        <w:rPr>
          <w:rFonts w:ascii="Times New Roman" w:cs="Times New Roman" w:eastAsia="Times New Roman" w:hAnsi="Times New Roman"/>
          <w:sz w:val="18"/>
          <w:szCs w:val="18"/>
          <w:color w:val="auto"/>
        </w:rPr>
      </w:pPr>
    </w:p>
    <w:p>
      <w:pPr>
        <w:ind w:left="-656" w:firstLine="1304"/>
        <w:spacing w:after="0" w:line="256" w:lineRule="auto"/>
        <w:tabs>
          <w:tab w:leader="none" w:pos="121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such Purchasing Party, nor any director, officer, agent, employee or other Person acting on behalf of such Purchasing Party has, in the course of its actions for, or on behalf of, Purchasing Party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unlawful bribe, rebate, payoff, influence payment, kickback or other unlawful payment to any foreign or domestic government official or employee.</w:t>
      </w:r>
    </w:p>
    <w:p>
      <w:pPr>
        <w:spacing w:after="0" w:line="187" w:lineRule="exact"/>
        <w:rPr>
          <w:rFonts w:ascii="Times New Roman" w:cs="Times New Roman" w:eastAsia="Times New Roman" w:hAnsi="Times New Roman"/>
          <w:sz w:val="18"/>
          <w:szCs w:val="18"/>
          <w:color w:val="auto"/>
        </w:rPr>
      </w:pPr>
    </w:p>
    <w:p>
      <w:pPr>
        <w:ind w:left="-656" w:right="80" w:firstLine="1304"/>
        <w:spacing w:after="0" w:line="255" w:lineRule="auto"/>
        <w:tabs>
          <w:tab w:leader="none" w:pos="1165"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Anti-Money Laundering Laws</w:t>
      </w:r>
      <w:r>
        <w:rPr>
          <w:rFonts w:ascii="Times New Roman" w:cs="Times New Roman" w:eastAsia="Times New Roman" w:hAnsi="Times New Roman"/>
          <w:sz w:val="18"/>
          <w:szCs w:val="18"/>
          <w:color w:val="auto"/>
        </w:rPr>
        <w:t>. The operations of such Purchasing Party are and have been conducted at all times in compliance with applicable financial recordkeeping and reporting requirements and all other applicable U.S. and non-U.S. anti-money laundering Laws and regulations, including, but not limited to, those of the Currency and Foreign Transactions Reporting Act of 1970, as amended, the USA PATRIOT Act of 2001 and the applicable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such Purchasing Party with respect to the Anti-Money Laundering Laws is pending or, to the knowledge of such Purchasing Party, threatened.</w:t>
      </w:r>
    </w:p>
    <w:p>
      <w:pPr>
        <w:spacing w:after="0" w:line="188" w:lineRule="exact"/>
        <w:rPr>
          <w:rFonts w:ascii="Times New Roman" w:cs="Times New Roman" w:eastAsia="Times New Roman" w:hAnsi="Times New Roman"/>
          <w:sz w:val="18"/>
          <w:szCs w:val="18"/>
          <w:color w:val="auto"/>
        </w:rPr>
      </w:pPr>
    </w:p>
    <w:p>
      <w:pPr>
        <w:ind w:left="-656" w:right="80" w:firstLine="1304"/>
        <w:spacing w:after="0" w:line="254" w:lineRule="auto"/>
        <w:tabs>
          <w:tab w:leader="none" w:pos="1165"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and Warranties; Non-Reliance</w:t>
      </w:r>
      <w:r>
        <w:rPr>
          <w:rFonts w:ascii="Times New Roman" w:cs="Times New Roman" w:eastAsia="Times New Roman" w:hAnsi="Times New Roman"/>
          <w:sz w:val="18"/>
          <w:szCs w:val="18"/>
          <w:color w:val="auto"/>
        </w:rPr>
        <w:t xml:space="preserve">. Except for the specific representations and warranties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in any certificate or agreement delivered pursuant hereto, none of such Purchasing Party nor any person acting on behalf of such Purchasing Party nor any of such Purchasing Party’s affiliates (“</w:t>
      </w:r>
      <w:r>
        <w:rPr>
          <w:rFonts w:ascii="Times New Roman" w:cs="Times New Roman" w:eastAsia="Times New Roman" w:hAnsi="Times New Roman"/>
          <w:sz w:val="18"/>
          <w:szCs w:val="18"/>
          <w:u w:val="single" w:color="auto"/>
          <w:color w:val="auto"/>
        </w:rPr>
        <w:t>Purchasing Party Group</w:t>
      </w:r>
      <w:r>
        <w:rPr>
          <w:rFonts w:ascii="Times New Roman" w:cs="Times New Roman" w:eastAsia="Times New Roman" w:hAnsi="Times New Roman"/>
          <w:sz w:val="18"/>
          <w:szCs w:val="18"/>
          <w:color w:val="auto"/>
        </w:rPr>
        <w:t xml:space="preserve">”) has made, makes or shall be deemed to make any other express or implied representation or warranty with respect to such Purchasing Party or the purchase and sale of its Backstop Shares, and such Purchasing Party disclaim any such representation or warranty. Except for the specific representations and warranties expressly made by (i) Parent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and in any certificate or agreement delivered pursuant hereto and (ii) the Company in Section 5 of this Agreement, such Purchasing Party Group specifically disclaims that it is relying upon any other representations or warranties that may have been made by Parent, any person on behalf of Parent or any of Parent’s affiliates (collectively,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w:t>
      </w: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tations and Warranties of Parent</w:t>
      </w:r>
      <w:r>
        <w:rPr>
          <w:rFonts w:ascii="Times New Roman" w:cs="Times New Roman" w:eastAsia="Times New Roman" w:hAnsi="Times New Roman"/>
          <w:sz w:val="18"/>
          <w:szCs w:val="18"/>
          <w:color w:val="auto"/>
        </w:rPr>
        <w:t>. Parent represents and warrants to the Purchasing Parties as follows:</w:t>
      </w:r>
    </w:p>
    <w:p>
      <w:pPr>
        <w:spacing w:after="0" w:line="229" w:lineRule="exact"/>
        <w:rPr>
          <w:rFonts w:ascii="Times New Roman" w:cs="Times New Roman" w:eastAsia="Times New Roman" w:hAnsi="Times New Roman"/>
          <w:sz w:val="18"/>
          <w:szCs w:val="18"/>
          <w:b w:val="1"/>
          <w:bCs w:val="1"/>
          <w:color w:val="auto"/>
        </w:rPr>
      </w:pPr>
    </w:p>
    <w:p>
      <w:pPr>
        <w:ind w:left="-656" w:right="140" w:firstLine="1304"/>
        <w:spacing w:after="0" w:line="266" w:lineRule="auto"/>
        <w:tabs>
          <w:tab w:leader="none" w:pos="1154"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Corporate Power</w:t>
      </w:r>
      <w:r>
        <w:rPr>
          <w:rFonts w:ascii="Times New Roman" w:cs="Times New Roman" w:eastAsia="Times New Roman" w:hAnsi="Times New Roman"/>
          <w:sz w:val="18"/>
          <w:szCs w:val="18"/>
          <w:color w:val="auto"/>
        </w:rPr>
        <w:t>. Parent is an exempted company duly incorporated, validly existing and in good standing under the Laws of the Cayman Islands and has all requisite corporate power and authority to carry on its business as presently conducted and as proposed to be conducted.</w:t>
      </w:r>
    </w:p>
    <w:p>
      <w:pPr>
        <w:spacing w:after="0" w:line="175" w:lineRule="exact"/>
        <w:rPr>
          <w:rFonts w:ascii="Times New Roman" w:cs="Times New Roman" w:eastAsia="Times New Roman" w:hAnsi="Times New Roman"/>
          <w:sz w:val="18"/>
          <w:szCs w:val="18"/>
          <w:color w:val="auto"/>
        </w:rPr>
      </w:pPr>
    </w:p>
    <w:p>
      <w:pPr>
        <w:ind w:left="-656" w:right="40" w:firstLine="1304"/>
        <w:spacing w:after="0" w:line="261" w:lineRule="auto"/>
        <w:tabs>
          <w:tab w:leader="none" w:pos="1165"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share capital of Parent consists, as of the date hereof, of 100,000,000 shares of Parent Ordinary Shares and 1,000,000 preference shares, of which 20,450,000 Parent Ordinary Shares and no Parent Preferred Shares are issued and outstanding. All of the issued and outstanding Parent Ordinary Shares and preference shares have been duly authorized, are fully paid and nonassessable and were issued in compliance with all applicable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425450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337" w:right="379" w:bottom="1440" w:gutter="0" w:footer="0" w:header="0"/>
        </w:sectPr>
      </w:pPr>
    </w:p>
    <w:bookmarkStart w:id="227" w:name="page228"/>
    <w:bookmarkEnd w:id="227"/>
    <w:p>
      <w:pPr>
        <w:ind w:left="-1120" w:right="120" w:firstLine="1304"/>
        <w:spacing w:after="0" w:line="253" w:lineRule="auto"/>
        <w:tabs>
          <w:tab w:leader="none" w:pos="82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All corporate action required to be taken by Parent’s Board of Directors and shareholders in order to authorize Parent to enter into this Agreement, and to issue the Backstop Shares at the Share Purchase Closing has been taken or will be taken prior to the Share Purchase Closing, as applicable. All action on the part of the shareholders, directors and officers of Parent necessary for the execution and delivery of this Agreement, the performance of all obligations of Parent under this Agreement to be performed as of the Share Purchase Closing, and the issuance and delivery of the Backstop Shares has been taken or will be taken prior to the Share Purchase Closing. This Agreement, when executed and delivered by Parent, shall constitute a valid and legally binding obligation of Parent, enforceable against Parent in accordance with its terms except (i)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the Registration Rights Agreement may be limited by applicable federal or state securities Laws.</w:t>
      </w:r>
    </w:p>
    <w:p>
      <w:pPr>
        <w:spacing w:after="0" w:line="194"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of Backstop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20" w:right="20" w:firstLine="1952"/>
        <w:spacing w:after="0" w:line="255" w:lineRule="auto"/>
        <w:tabs>
          <w:tab w:leader="none" w:pos="1305"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Backstop Shares, when issued, sold and delivered in accordance with the terms and for the consideration set forth in this Agreement and registered in the register of members of the Company when issued in accordance with this Agreement, and registered on Parent’s share register, will be validly issued, fully paid and nonassessable and free of all preemptive or similar rights, liens, encumbrances and charges with respect to the issue thereof and restrictions on transfer other than restrictions on transfer specified under this Agreement, applicable state and federal securities Laws and liens or encumbrances created by or imposed by any Purchasing Party, as applicable. Assuming the accuracy of the representations of each Purchasing Party in this Agreement and subject to the filings described in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xml:space="preserve"> below, the Backstop Shares will be issued in compliance with all applicable federal and state securities Laws.</w:t>
      </w:r>
    </w:p>
    <w:p>
      <w:pPr>
        <w:spacing w:after="0" w:line="188" w:lineRule="exact"/>
        <w:rPr>
          <w:rFonts w:ascii="Times New Roman" w:cs="Times New Roman" w:eastAsia="Times New Roman" w:hAnsi="Times New Roman"/>
          <w:sz w:val="18"/>
          <w:szCs w:val="18"/>
          <w:color w:val="auto"/>
        </w:rPr>
      </w:pPr>
    </w:p>
    <w:p>
      <w:pPr>
        <w:ind w:left="-1120" w:right="40" w:firstLine="1952"/>
        <w:spacing w:after="0" w:line="261" w:lineRule="auto"/>
        <w:tabs>
          <w:tab w:leader="none" w:pos="1359"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“bad actor” disqualifying event described in Rule 506(d)(1)(i)-(viii) of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is applicable to Parent or, to Parent’s knowledge, any Parent Covered Person (as defined below), except for a Disqualification Event as to which Rule 506(d)(2)(ii—iv) or (d)(3), is applicable. “</w:t>
      </w:r>
      <w:r>
        <w:rPr>
          <w:rFonts w:ascii="Times New Roman" w:cs="Times New Roman" w:eastAsia="Times New Roman" w:hAnsi="Times New Roman"/>
          <w:sz w:val="18"/>
          <w:szCs w:val="18"/>
          <w:u w:val="single" w:color="auto"/>
          <w:color w:val="auto"/>
        </w:rPr>
        <w:t>Parent Covered Person</w:t>
      </w:r>
      <w:r>
        <w:rPr>
          <w:rFonts w:ascii="Times New Roman" w:cs="Times New Roman" w:eastAsia="Times New Roman" w:hAnsi="Times New Roman"/>
          <w:sz w:val="18"/>
          <w:szCs w:val="18"/>
          <w:color w:val="auto"/>
        </w:rPr>
        <w:t>” means, with respect to Parent as an “issuer” for purposes of Rule 506 promulgated under the Securities Act, any Person listed in the first paragraph of Rule 506(d)(1).</w:t>
      </w:r>
    </w:p>
    <w:p>
      <w:pPr>
        <w:spacing w:after="0" w:line="179" w:lineRule="exact"/>
        <w:rPr>
          <w:rFonts w:ascii="Times New Roman" w:cs="Times New Roman" w:eastAsia="Times New Roman" w:hAnsi="Times New Roman"/>
          <w:sz w:val="18"/>
          <w:szCs w:val="18"/>
          <w:color w:val="auto"/>
        </w:rPr>
      </w:pPr>
    </w:p>
    <w:p>
      <w:pPr>
        <w:ind w:left="-1120" w:right="120" w:firstLine="1304"/>
        <w:spacing w:after="0" w:line="258" w:lineRule="auto"/>
        <w:tabs>
          <w:tab w:leader="none" w:pos="82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Consents and Filings</w:t>
      </w:r>
      <w:r>
        <w:rPr>
          <w:rFonts w:ascii="Times New Roman" w:cs="Times New Roman" w:eastAsia="Times New Roman" w:hAnsi="Times New Roman"/>
          <w:sz w:val="18"/>
          <w:szCs w:val="18"/>
          <w:color w:val="auto"/>
        </w:rPr>
        <w:t>. Assuming the accuracy of the representations and warranties made by the Purchasing Parties in this Agreement, no consent, approval, order or authorization of, or registration, qualification, designation, declaration or filing with, any federal, state or local governmental authority is required on the part of Parent in connection with the consummation of the transactions contemplated by this Agreement, except for filings pursuant to Regulation D of the Securities Act, applicable state securities Laws and pursuant to the Registration Rights Agreement.</w:t>
      </w:r>
    </w:p>
    <w:p>
      <w:pPr>
        <w:spacing w:after="0" w:line="183" w:lineRule="exact"/>
        <w:rPr>
          <w:rFonts w:ascii="Times New Roman" w:cs="Times New Roman" w:eastAsia="Times New Roman" w:hAnsi="Times New Roman"/>
          <w:sz w:val="18"/>
          <w:szCs w:val="18"/>
          <w:color w:val="auto"/>
        </w:rPr>
      </w:pPr>
    </w:p>
    <w:p>
      <w:pPr>
        <w:ind w:left="-1120" w:firstLine="1304"/>
        <w:spacing w:after="0" w:line="256" w:lineRule="auto"/>
        <w:tabs>
          <w:tab w:leader="none" w:pos="80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execution, delivery and performance of this Agreement and the consummation of the transactions contemplated by this Agreement will not result in any violation or default (i) of any provisions of Parent’s Governing Documents, as they may be amended from time to time, (ii) of any instrument, judgment, order, writ or decree to which Parent is a party or by which it is bound, (iii) under any note, indenture or mortgage to which Parent is a party or by which it is bound, (iv) under any lease, agreement, contract or purchase order to which Parent is a party or by which it is bound or (v) of any provision of federal or state statute, rule or regulation applicable to Parent, in each case (other than clause (i)) which would have a material adverse effect on Parent or its ability to consummate the transactions contemplated by this Agreement.</w:t>
      </w:r>
    </w:p>
    <w:p>
      <w:pPr>
        <w:spacing w:after="0" w:line="187" w:lineRule="exact"/>
        <w:rPr>
          <w:rFonts w:ascii="Times New Roman" w:cs="Times New Roman" w:eastAsia="Times New Roman" w:hAnsi="Times New Roman"/>
          <w:sz w:val="18"/>
          <w:szCs w:val="18"/>
          <w:color w:val="auto"/>
        </w:rPr>
      </w:pPr>
    </w:p>
    <w:p>
      <w:pPr>
        <w:ind w:left="-1120" w:right="180" w:firstLine="1304"/>
        <w:spacing w:after="0" w:line="282" w:lineRule="auto"/>
        <w:tabs>
          <w:tab w:leader="none" w:pos="83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As of the date hereof, Parent has not conducted any operations other than organizational activities and activities in connection with the IPO, its search for a potential business combination and financing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414020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28" w:name="page229"/>
    <w:bookmarkEnd w:id="228"/>
    <w:p>
      <w:pPr>
        <w:ind w:right="100" w:firstLine="1304"/>
        <w:spacing w:after="0" w:line="277" w:lineRule="auto"/>
        <w:tabs>
          <w:tab w:leader="none" w:pos="1821" w:val="left"/>
        </w:tabs>
        <w:numPr>
          <w:ilvl w:val="2"/>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Foreign Corrupt Practices</w:t>
      </w:r>
      <w:r>
        <w:rPr>
          <w:rFonts w:ascii="Times New Roman" w:cs="Times New Roman" w:eastAsia="Times New Roman" w:hAnsi="Times New Roman"/>
          <w:sz w:val="17"/>
          <w:szCs w:val="17"/>
          <w:color w:val="auto"/>
        </w:rPr>
        <w:t>. Neither Parent, nor any director, officer, agent, employee or other Person acting on behalf of Parent has, in the course of its actions for, or on behalf of, Parent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unlawful bribe, rebate, payoff, influence payment, kickback or other unlawful payment to any foreign or domestic government official or employee.</w:t>
      </w:r>
    </w:p>
    <w:p>
      <w:pPr>
        <w:spacing w:after="0" w:line="167" w:lineRule="exact"/>
        <w:rPr>
          <w:rFonts w:ascii="Times New Roman" w:cs="Times New Roman" w:eastAsia="Times New Roman" w:hAnsi="Times New Roman"/>
          <w:sz w:val="17"/>
          <w:szCs w:val="17"/>
          <w:color w:val="auto"/>
        </w:rPr>
      </w:pPr>
    </w:p>
    <w:p>
      <w:pPr>
        <w:ind w:firstLine="1304"/>
        <w:spacing w:after="0" w:line="261" w:lineRule="auto"/>
        <w:tabs>
          <w:tab w:leader="none" w:pos="1781"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Anti-Money Laundering Laws</w:t>
      </w:r>
      <w:r>
        <w:rPr>
          <w:rFonts w:ascii="Times New Roman" w:cs="Times New Roman" w:eastAsia="Times New Roman" w:hAnsi="Times New Roman"/>
          <w:sz w:val="18"/>
          <w:szCs w:val="18"/>
          <w:color w:val="auto"/>
        </w:rPr>
        <w:t>. The operations of Parent are and have been conducted at all times in compliance with applicable financial recordkeeping and reporting requirements and all other applicable U.S. and non-U.S. anti-money laundering Laws and regulations, including, but not limited to, Anti-Money Laundering Laws, and no action, suit or proceeding by or before any court or governmental agency, authority or body or any arbitrator involving Parent with respect to the Anti-Money Laundering Laws is pending or, to the knowledge of Parent, threatened.</w:t>
      </w:r>
    </w:p>
    <w:p>
      <w:pPr>
        <w:spacing w:after="0" w:line="179" w:lineRule="exact"/>
        <w:rPr>
          <w:rFonts w:ascii="Times New Roman" w:cs="Times New Roman" w:eastAsia="Times New Roman" w:hAnsi="Times New Roman"/>
          <w:sz w:val="18"/>
          <w:szCs w:val="18"/>
          <w:color w:val="auto"/>
        </w:rPr>
      </w:pPr>
    </w:p>
    <w:p>
      <w:pPr>
        <w:ind w:right="280" w:firstLine="1304"/>
        <w:spacing w:after="0" w:line="282" w:lineRule="auto"/>
        <w:tabs>
          <w:tab w:leader="none" w:pos="1781"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before or by any Governmental Authority or, to the Knowledge of Parent, threatened against or affecting Parent or any of Parent’s officers or directors, whether of a civil or criminal nature or otherwise, in their capacities as such.</w:t>
      </w:r>
    </w:p>
    <w:p>
      <w:pPr>
        <w:spacing w:after="0" w:line="161" w:lineRule="exact"/>
        <w:rPr>
          <w:rFonts w:ascii="Times New Roman" w:cs="Times New Roman" w:eastAsia="Times New Roman" w:hAnsi="Times New Roman"/>
          <w:sz w:val="18"/>
          <w:szCs w:val="18"/>
          <w:color w:val="auto"/>
        </w:rPr>
      </w:pPr>
    </w:p>
    <w:p>
      <w:pPr>
        <w:jc w:val="both"/>
        <w:ind w:right="80" w:firstLine="1304"/>
        <w:spacing w:after="0" w:line="266" w:lineRule="auto"/>
        <w:tabs>
          <w:tab w:leader="none" w:pos="1821"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Parent, nor any of its officers, directors, employees, agents or shareholders has either directly or indirectly, including, through a broker or finder (i) engaged in any general solicitation, or (ii) published any advertisement in connection with the offer and sale of the Backstop Shares.</w:t>
      </w:r>
    </w:p>
    <w:p>
      <w:pPr>
        <w:spacing w:after="0" w:line="175" w:lineRule="exact"/>
        <w:rPr>
          <w:rFonts w:ascii="Times New Roman" w:cs="Times New Roman" w:eastAsia="Times New Roman" w:hAnsi="Times New Roman"/>
          <w:sz w:val="18"/>
          <w:szCs w:val="18"/>
          <w:color w:val="auto"/>
        </w:rPr>
      </w:pPr>
    </w:p>
    <w:p>
      <w:pPr>
        <w:ind w:firstLine="1304"/>
        <w:spacing w:after="0" w:line="256" w:lineRule="auto"/>
        <w:tabs>
          <w:tab w:leader="none" w:pos="1781"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and Warranties; Non-Reliance</w:t>
      </w:r>
      <w:r>
        <w:rPr>
          <w:rFonts w:ascii="Times New Roman" w:cs="Times New Roman" w:eastAsia="Times New Roman" w:hAnsi="Times New Roman"/>
          <w:sz w:val="18"/>
          <w:szCs w:val="18"/>
          <w:color w:val="auto"/>
        </w:rPr>
        <w:t xml:space="preserve">. Except for the specific representations and warranties contained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in any certificate or agreement delivered pursuant hereto, none of Parent Parties has made, makes or shall be deemed to make any other express or implied representation or warranty with respect to Parent, the transactions contemplated by the Merger Agreement or the offer and sale of the Backstop Shares, and the Parent Parties disclaim any such representation or warranty. Except for the specific representations and warranties expressly made by each of the Purchasing Parties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and in any certificate or agreement delivered pursuant hereto, the Parent Parties specifically disclaim that it is relying upon any other representations or warranties that may have been made by each Purchasing Party Group.</w:t>
      </w:r>
    </w:p>
    <w:p>
      <w:pPr>
        <w:spacing w:after="0" w:line="183"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20" w:firstLine="1304"/>
        <w:spacing w:after="0" w:line="255" w:lineRule="auto"/>
        <w:tabs>
          <w:tab w:leader="none" w:pos="1811"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The Company (i) represents and warrants to the Purchasing Parties that, the representations and warranties of the Company in the Merger Agreement are true and correct as of the date hereof and will be true and correct as of the Closing Date (other than any such representation or warranty that is made by its terms as of a specified date, which shall be true and correct as of such specified date), in each case, other than as would not individually or in the aggregate reasonably be expected to have a Material Adverse Effect in respect of the Company and its Subsidiaries and</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the Purchasing Party is relying on the accuracy of such representations and warranties as set forth in the preceding clause</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270"/>
        </w:numPr>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right="120" w:firstLine="1304"/>
        <w:spacing w:after="0" w:line="255" w:lineRule="auto"/>
        <w:tabs>
          <w:tab w:leader="none" w:pos="1821"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Representations and Warranties; Non-Reliance. Except for the specific representations and warranties contained in this Section 5 and in any certificate or agreement delivered pursuant hereto, neither the Company nor any person acting on behalf of the Company nor any of the Company’s affiliates (the “Company Group”) has made, makes or shall be deemed to make any other express or implied representation or warranty with respect to the Company, the transactions contemplated by the Merger Agreement or the offer and sale of the Backstop Shares, and the Company Group disclaims any such representation or warranty. Except for the specific representations and warranties expressly made by each Purchasing Party in Section 3 of this Agreement and in any certificate or agreement delivered pursuant hereto, the Company specifically disclaims that they are relying upon any other representations or warranties that may have been made by any Purchasing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29" w:name="page230"/>
    <w:bookmarkEnd w:id="229"/>
    <w:p>
      <w:pPr>
        <w:ind w:left="1272" w:hanging="624"/>
        <w:spacing w:after="0"/>
        <w:tabs>
          <w:tab w:leader="none" w:pos="1272" w:val="left"/>
        </w:tabs>
        <w:numPr>
          <w:ilvl w:val="1"/>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Agreements, Acknowledgements and Waivers of the Purchasing Parties.</w:t>
      </w:r>
    </w:p>
    <w:p>
      <w:pPr>
        <w:spacing w:after="0" w:line="229" w:lineRule="exact"/>
        <w:rPr>
          <w:rFonts w:ascii="Times New Roman" w:cs="Times New Roman" w:eastAsia="Times New Roman" w:hAnsi="Times New Roman"/>
          <w:sz w:val="18"/>
          <w:szCs w:val="18"/>
          <w:b w:val="1"/>
          <w:bCs w:val="1"/>
          <w:color w:val="auto"/>
        </w:rPr>
      </w:pPr>
    </w:p>
    <w:p>
      <w:pPr>
        <w:ind w:left="-8" w:right="20" w:firstLine="1304"/>
        <w:spacing w:after="0" w:line="255" w:lineRule="auto"/>
        <w:tabs>
          <w:tab w:leader="none" w:pos="1937" w:val="left"/>
        </w:tabs>
        <w:numPr>
          <w:ilvl w:val="2"/>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Reference is made to the final prospectus of Parent, dated August 3, 2020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Each Purchasing Party has read the Prospectus and understands that Parent has established the Trust Account for the benefit of the public Parent Shareholders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the Company and each Purchasing Party for itself and on behalf of its securityholders, hereby agrees that it does not now and shall not at any time hereafter have any right, title, interest or claim of any kind in or to any monies in the Trust Account as a result of, or arising out of, any negotiations, contracts or agreements with Parent and hereby agrees that it will not seek recourse against the Trust Account for any reason.</w:t>
      </w:r>
    </w:p>
    <w:p>
      <w:pPr>
        <w:spacing w:after="0" w:line="188" w:lineRule="exact"/>
        <w:rPr>
          <w:rFonts w:ascii="Times New Roman" w:cs="Times New Roman" w:eastAsia="Times New Roman" w:hAnsi="Times New Roman"/>
          <w:sz w:val="18"/>
          <w:szCs w:val="18"/>
          <w:color w:val="auto"/>
        </w:rPr>
      </w:pPr>
    </w:p>
    <w:p>
      <w:pPr>
        <w:ind w:left="-8" w:right="80" w:firstLine="1304"/>
        <w:spacing w:after="0" w:line="256" w:lineRule="auto"/>
        <w:tabs>
          <w:tab w:leader="none" w:pos="1948" w:val="left"/>
        </w:tabs>
        <w:numPr>
          <w:ilvl w:val="2"/>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xml:space="preserve">. Each Purchasing Party hereby agrees that neither it, nor any person or entity acting on its behalf or pursuant to any understanding with it, will engage in any Short Sales with respect to securities of Parent prior to the Merger Closing. For purposes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w:t>
      </w:r>
    </w:p>
    <w:p>
      <w:pPr>
        <w:spacing w:after="0" w:line="183" w:lineRule="exact"/>
        <w:rPr>
          <w:rFonts w:ascii="Times New Roman" w:cs="Times New Roman" w:eastAsia="Times New Roman" w:hAnsi="Times New Roman"/>
          <w:sz w:val="18"/>
          <w:szCs w:val="18"/>
          <w:color w:val="auto"/>
        </w:rPr>
      </w:pPr>
    </w:p>
    <w:p>
      <w:pPr>
        <w:ind w:left="1272" w:hanging="624"/>
        <w:spacing w:after="0"/>
        <w:tabs>
          <w:tab w:leader="none" w:pos="1272" w:val="left"/>
        </w:tabs>
        <w:numPr>
          <w:ilvl w:val="1"/>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Purchase Closing Conditions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8" w:right="260" w:firstLine="1304"/>
        <w:spacing w:after="0" w:line="266" w:lineRule="auto"/>
        <w:tabs>
          <w:tab w:leader="none" w:pos="1934" w:val="left"/>
        </w:tabs>
        <w:numPr>
          <w:ilvl w:val="2"/>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each of the Purchasing Parties to consummate the Share Purchase Closing is subject to the fulfillment, at or prior to the Share Purchase Closing of each of the following conditions, any of which, to the extent permitted by applicable Laws, may be waived by the Purchasing Parties (or, with respect to clauses (ii) and (iii), the Company on their behalf), as applicable:</w:t>
      </w:r>
    </w:p>
    <w:p>
      <w:pPr>
        <w:spacing w:after="0" w:line="175" w:lineRule="exact"/>
        <w:rPr>
          <w:rFonts w:ascii="Times New Roman" w:cs="Times New Roman" w:eastAsia="Times New Roman" w:hAnsi="Times New Roman"/>
          <w:sz w:val="18"/>
          <w:szCs w:val="18"/>
          <w:color w:val="auto"/>
        </w:rPr>
      </w:pPr>
    </w:p>
    <w:p>
      <w:pPr>
        <w:ind w:left="-8" w:right="80" w:firstLine="1952"/>
        <w:spacing w:after="0" w:line="261" w:lineRule="auto"/>
        <w:tabs>
          <w:tab w:leader="none" w:pos="2417" w:val="left"/>
        </w:tabs>
        <w:numPr>
          <w:ilvl w:val="3"/>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set forth in Article X of the Merger Agreement (other than those conditions that by their nature are to be satisfied by actions taken at the Merger Closing; provided that each such condition is then capable of being satisfied at the Merger Closing on such date) to Parent’s obligations to consummate the Merger Closing have been satisfied or waived, and the Company has confirmed to Parent in writing that the Company is ready, willing and able to consummate the Transactions;</w:t>
      </w:r>
    </w:p>
    <w:p>
      <w:pPr>
        <w:spacing w:after="0" w:line="179" w:lineRule="exact"/>
        <w:rPr>
          <w:rFonts w:ascii="Times New Roman" w:cs="Times New Roman" w:eastAsia="Times New Roman" w:hAnsi="Times New Roman"/>
          <w:sz w:val="18"/>
          <w:szCs w:val="18"/>
          <w:color w:val="auto"/>
        </w:rPr>
      </w:pPr>
    </w:p>
    <w:p>
      <w:pPr>
        <w:ind w:left="-8" w:firstLine="1952"/>
        <w:spacing w:after="0" w:line="258" w:lineRule="auto"/>
        <w:tabs>
          <w:tab w:leader="none" w:pos="2467" w:val="left"/>
        </w:tabs>
        <w:numPr>
          <w:ilvl w:val="3"/>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set forth in Section 4 of this Agreement shall have been true and correct as of the date hereof and shall be true and correct as of the Share Purchase Closing,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Parent’s ability to consummate the transactions contemplated by this Agreement;</w:t>
      </w:r>
    </w:p>
    <w:p>
      <w:pPr>
        <w:spacing w:after="0" w:line="183" w:lineRule="exact"/>
        <w:rPr>
          <w:rFonts w:ascii="Times New Roman" w:cs="Times New Roman" w:eastAsia="Times New Roman" w:hAnsi="Times New Roman"/>
          <w:sz w:val="18"/>
          <w:szCs w:val="18"/>
          <w:color w:val="auto"/>
        </w:rPr>
      </w:pPr>
    </w:p>
    <w:p>
      <w:pPr>
        <w:ind w:left="-8" w:right="700" w:firstLine="1952"/>
        <w:spacing w:after="0" w:line="282" w:lineRule="auto"/>
        <w:tabs>
          <w:tab w:leader="none" w:pos="2521" w:val="left"/>
        </w:tabs>
        <w:numPr>
          <w:ilvl w:val="3"/>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performed, satisfied and complied in all material respects with the covenants, agreements and conditions required by this Agreement to be performed, satisfied or complied with by Parent, at or prior to the Share Purchase Closing; and</w:t>
      </w:r>
    </w:p>
    <w:p>
      <w:pPr>
        <w:spacing w:after="0" w:line="161" w:lineRule="exact"/>
        <w:rPr>
          <w:rFonts w:ascii="Times New Roman" w:cs="Times New Roman" w:eastAsia="Times New Roman" w:hAnsi="Times New Roman"/>
          <w:sz w:val="18"/>
          <w:szCs w:val="18"/>
          <w:color w:val="auto"/>
        </w:rPr>
      </w:pPr>
    </w:p>
    <w:p>
      <w:pPr>
        <w:ind w:left="-8" w:right="180" w:firstLine="1952"/>
        <w:spacing w:after="0" w:line="266" w:lineRule="auto"/>
        <w:tabs>
          <w:tab w:leader="none" w:pos="2511" w:val="left"/>
        </w:tabs>
        <w:numPr>
          <w:ilvl w:val="3"/>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any Purchasing Party of its Backstop Shares.</w:t>
      </w:r>
    </w:p>
    <w:p>
      <w:pPr>
        <w:spacing w:after="0" w:line="175" w:lineRule="exact"/>
        <w:rPr>
          <w:rFonts w:ascii="Times New Roman" w:cs="Times New Roman" w:eastAsia="Times New Roman" w:hAnsi="Times New Roman"/>
          <w:sz w:val="18"/>
          <w:szCs w:val="18"/>
          <w:color w:val="auto"/>
        </w:rPr>
      </w:pPr>
    </w:p>
    <w:p>
      <w:pPr>
        <w:jc w:val="both"/>
        <w:ind w:left="-8" w:right="20" w:firstLine="1304"/>
        <w:spacing w:after="0" w:line="261" w:lineRule="auto"/>
        <w:tabs>
          <w:tab w:leader="none" w:pos="1899" w:val="left"/>
        </w:tabs>
        <w:numPr>
          <w:ilvl w:val="2"/>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Parent to consummate the Share Purchase Closing is subject to the fulfillment, at or prior to the Share Purchase Closing of each of the following conditions, any of which, to the extent permitted by applicable Laws, may be waived by Parent (or, with respect to clauses</w:t>
      </w:r>
    </w:p>
    <w:p>
      <w:pPr>
        <w:ind w:left="272" w:hanging="272"/>
        <w:spacing w:after="0"/>
        <w:tabs>
          <w:tab w:leader="none" w:pos="272"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the Company on its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443230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230" w:name="page231"/>
    <w:bookmarkEnd w:id="230"/>
    <w:p>
      <w:pPr>
        <w:ind w:right="40" w:firstLine="1952"/>
        <w:spacing w:after="0" w:line="261" w:lineRule="auto"/>
        <w:tabs>
          <w:tab w:leader="none" w:pos="2425"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set forth in Article X of the Merger Agreement (other than those conditions that by their nature are to be satisfied by actions taken at the Merger Closing; provided that each such condition is then capable of being satisfied at the Merger Closing on such date) to Parent’s obligations to consummate the Merger Closing have been satisfied or waived, and the Company has confirmed to Parent in writing that the Company is ready, willing and able to consummate the Transactions;</w:t>
      </w:r>
    </w:p>
    <w:p>
      <w:pPr>
        <w:spacing w:after="0" w:line="179" w:lineRule="exact"/>
        <w:rPr>
          <w:rFonts w:ascii="Times New Roman" w:cs="Times New Roman" w:eastAsia="Times New Roman" w:hAnsi="Times New Roman"/>
          <w:sz w:val="18"/>
          <w:szCs w:val="18"/>
          <w:color w:val="auto"/>
        </w:rPr>
      </w:pPr>
    </w:p>
    <w:p>
      <w:pPr>
        <w:ind w:firstLine="1952"/>
        <w:spacing w:after="0" w:line="258" w:lineRule="auto"/>
        <w:tabs>
          <w:tab w:leader="none" w:pos="2475"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each Purchasing Party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shall have been true and correct as of the date hereof and shall be true and correct as of the Share Purchase Closing,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such Purchasing Party or its ability to consummate the transactions contemplated by this Agreement;</w:t>
      </w:r>
    </w:p>
    <w:p>
      <w:pPr>
        <w:spacing w:after="0" w:line="183" w:lineRule="exact"/>
        <w:rPr>
          <w:rFonts w:ascii="Times New Roman" w:cs="Times New Roman" w:eastAsia="Times New Roman" w:hAnsi="Times New Roman"/>
          <w:sz w:val="18"/>
          <w:szCs w:val="18"/>
          <w:color w:val="auto"/>
        </w:rPr>
      </w:pPr>
    </w:p>
    <w:p>
      <w:pPr>
        <w:ind w:right="560" w:firstLine="1952"/>
        <w:spacing w:after="0" w:line="266" w:lineRule="auto"/>
        <w:tabs>
          <w:tab w:leader="none" w:pos="2529"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Purchasing Party shall have performed, satisfied and complied in all material respects with the covenants, agreements and conditions required by this Agreement to be performed, satisfied or complied with by such Purchasing Party at or prior to the Share Purchase Closing; and</w:t>
      </w:r>
    </w:p>
    <w:p>
      <w:pPr>
        <w:spacing w:after="0" w:line="175" w:lineRule="exact"/>
        <w:rPr>
          <w:rFonts w:ascii="Times New Roman" w:cs="Times New Roman" w:eastAsia="Times New Roman" w:hAnsi="Times New Roman"/>
          <w:sz w:val="18"/>
          <w:szCs w:val="18"/>
          <w:color w:val="auto"/>
        </w:rPr>
      </w:pPr>
    </w:p>
    <w:p>
      <w:pPr>
        <w:ind w:right="140" w:firstLine="1952"/>
        <w:spacing w:after="0" w:line="266" w:lineRule="auto"/>
        <w:tabs>
          <w:tab w:leader="none" w:pos="2519"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any of the Purchasing Parties of the Backstop Shares.</w:t>
      </w:r>
    </w:p>
    <w:p>
      <w:pPr>
        <w:spacing w:after="0" w:line="17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This Agreement may be terminated at any time prior to the Share Purchase Closing:</w:t>
      </w:r>
    </w:p>
    <w:p>
      <w:pPr>
        <w:spacing w:after="0" w:line="229" w:lineRule="exact"/>
        <w:rPr>
          <w:rFonts w:ascii="Times New Roman" w:cs="Times New Roman" w:eastAsia="Times New Roman" w:hAnsi="Times New Roman"/>
          <w:sz w:val="18"/>
          <w:szCs w:val="18"/>
          <w:b w:val="1"/>
          <w:bCs w:val="1"/>
          <w:color w:val="auto"/>
        </w:rPr>
      </w:pPr>
    </w:p>
    <w:p>
      <w:pPr>
        <w:ind w:left="1900" w:hanging="596"/>
        <w:spacing w:after="0"/>
        <w:tabs>
          <w:tab w:leader="none" w:pos="190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parties hereto; or</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the termination of the Merger Agreement in accordance with its terms.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the event of any termination of this Agreement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this Agreement shall forthwith become null and void and have no effect, without any liability on the part of any party hereto and their respective directors, officers, employees, partners, managers, members, or shareholders and all rights and obligations of each party shall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relieve either party from liabilities or damages arising out of any fraud or willful breach by such party of any of its representations, warranties, covenants or agreements contained in this Agreement.</w:t>
      </w:r>
    </w:p>
    <w:p>
      <w:pPr>
        <w:spacing w:after="0" w:line="179" w:lineRule="exact"/>
        <w:rPr>
          <w:sz w:val="20"/>
          <w:szCs w:val="20"/>
          <w:color w:val="auto"/>
        </w:rPr>
      </w:pPr>
    </w:p>
    <w:p>
      <w:pPr>
        <w:ind w:left="1280" w:hanging="624"/>
        <w:spacing w:after="0"/>
        <w:tabs>
          <w:tab w:leader="none" w:pos="128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80" w:firstLine="1304"/>
        <w:spacing w:after="0" w:line="282" w:lineRule="auto"/>
        <w:tabs>
          <w:tab w:leader="none" w:pos="1811"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Survival of Representations. Subject to the limitations and other provisions of this Agreement, the representations and warranties contained herein shall survive the Share Purchase Closing and shall remain in full force and effect until the first anniversary of the Closing Date.</w:t>
      </w:r>
    </w:p>
    <w:p>
      <w:pPr>
        <w:spacing w:after="0" w:line="161" w:lineRule="exact"/>
        <w:rPr>
          <w:rFonts w:ascii="Times New Roman" w:cs="Times New Roman" w:eastAsia="Times New Roman" w:hAnsi="Times New Roman"/>
          <w:sz w:val="18"/>
          <w:szCs w:val="18"/>
          <w:color w:val="auto"/>
        </w:rPr>
      </w:pPr>
    </w:p>
    <w:p>
      <w:pPr>
        <w:ind w:right="180" w:firstLine="1304"/>
        <w:spacing w:after="0" w:line="256" w:lineRule="auto"/>
        <w:tabs>
          <w:tab w:leader="none" w:pos="1821"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(i) if by hand, electronic mail or nationally recognized overnight courier service, by 5:00 PM Pacific Time on a Business Day, addressee’s day and time, on the date of delivery, and if delivered after 5:00 PM Eastern Time, on the first Business Day after such delivery; (ii) if by email, on the date of transmission with affirmative confirmation of receipt; or (iii)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31" w:name="page232"/>
    <w:bookmarkEnd w:id="231"/>
    <w:p>
      <w:pPr>
        <w:ind w:left="1300"/>
        <w:spacing w:after="0"/>
        <w:rPr>
          <w:sz w:val="20"/>
          <w:szCs w:val="20"/>
          <w:color w:val="auto"/>
        </w:rPr>
      </w:pPr>
      <w:r>
        <w:rPr>
          <w:rFonts w:ascii="Times New Roman" w:cs="Times New Roman" w:eastAsia="Times New Roman" w:hAnsi="Times New Roman"/>
          <w:sz w:val="18"/>
          <w:szCs w:val="18"/>
          <w:color w:val="auto"/>
        </w:rPr>
        <w:t>If to Parent,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Health Sciences Acquisitions Corporation 2</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RTW Investments, 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al@hsac2.com, gd@hsac2.com</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with a copy to Parent’s counsel (which shall not constitute notice) to</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345 Park Ave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Giovanni Caruso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gcaruso@loeb.com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communications sent to the Company shall be sent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Orchestra BioMed,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150 Union Square Drive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Hope PA 18938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David Hochman, Chairman &amp; CEO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DHochman@orchestrabiomed.com</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with a copy to the Company’s counsel (which shall not constitute notice) to:</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Samuel A. Waxman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samuelwaxman@paulhastings.com</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All communications to a Purchasing Party shall be sent to the Purchasing Party’s address as set forth on the signature page hereof, or to such e-mail address, facsimile number (if any) or address as subsequently modified by written notice given in accordance with this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960" w:hanging="656"/>
        <w:spacing w:after="0"/>
        <w:tabs>
          <w:tab w:leader="none" w:pos="196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No Waivers; Remedies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1952"/>
        <w:spacing w:after="0" w:line="266" w:lineRule="auto"/>
        <w:tabs>
          <w:tab w:leader="none" w:pos="2425"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75" w:lineRule="exact"/>
        <w:rPr>
          <w:rFonts w:ascii="Times New Roman" w:cs="Times New Roman" w:eastAsia="Times New Roman" w:hAnsi="Times New Roman"/>
          <w:sz w:val="18"/>
          <w:szCs w:val="18"/>
          <w:color w:val="auto"/>
        </w:rPr>
      </w:pPr>
    </w:p>
    <w:p>
      <w:pPr>
        <w:ind w:firstLine="1952"/>
        <w:spacing w:after="0" w:line="256" w:lineRule="auto"/>
        <w:tabs>
          <w:tab w:leader="none" w:pos="2479"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2" w:name="page233"/>
    <w:bookmarkEnd w:id="232"/>
    <w:p>
      <w:pPr>
        <w:ind w:left="-1120" w:right="180" w:firstLine="1952"/>
        <w:spacing w:after="0" w:line="282" w:lineRule="auto"/>
        <w:tabs>
          <w:tab w:leader="none" w:pos="1409"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no statement herein of any right or remedy shall impair any other right or remedy stated herein or that otherwise may be available.</w:t>
      </w:r>
    </w:p>
    <w:p>
      <w:pPr>
        <w:spacing w:after="0" w:line="161" w:lineRule="exact"/>
        <w:rPr>
          <w:rFonts w:ascii="Times New Roman" w:cs="Times New Roman" w:eastAsia="Times New Roman" w:hAnsi="Times New Roman"/>
          <w:sz w:val="18"/>
          <w:szCs w:val="18"/>
          <w:color w:val="auto"/>
        </w:rPr>
      </w:pPr>
    </w:p>
    <w:p>
      <w:pPr>
        <w:ind w:left="-1120" w:right="260" w:firstLine="1304"/>
        <w:spacing w:after="0" w:line="266" w:lineRule="auto"/>
        <w:tabs>
          <w:tab w:leader="none" w:pos="79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or Delegation</w:t>
      </w:r>
      <w:r>
        <w:rPr>
          <w:rFonts w:ascii="Times New Roman" w:cs="Times New Roman" w:eastAsia="Times New Roman" w:hAnsi="Times New Roman"/>
          <w:sz w:val="18"/>
          <w:szCs w:val="18"/>
          <w:color w:val="auto"/>
        </w:rPr>
        <w:t>. No party may assign any right or delegate any obligation hereunder, including by merger, consolidation, operation of law or otherwise, without the written consent of the other parties to this Agreement. Any purported assignment or delegation without such consent shall be void, in addition to constituting a material breach of this Agreement.</w:t>
      </w:r>
    </w:p>
    <w:p>
      <w:pPr>
        <w:spacing w:after="0" w:line="175" w:lineRule="exact"/>
        <w:rPr>
          <w:rFonts w:ascii="Times New Roman" w:cs="Times New Roman" w:eastAsia="Times New Roman" w:hAnsi="Times New Roman"/>
          <w:sz w:val="18"/>
          <w:szCs w:val="18"/>
          <w:color w:val="auto"/>
        </w:rPr>
      </w:pPr>
    </w:p>
    <w:p>
      <w:pPr>
        <w:ind w:left="-1120" w:right="60" w:firstLine="1304"/>
        <w:spacing w:after="0" w:line="261" w:lineRule="auto"/>
        <w:tabs>
          <w:tab w:leader="none" w:pos="7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disputes or controversies arising out of or relating to this Agreement or the transactions contemplated hereby, including the applicable statute of limitations,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79" w:lineRule="exact"/>
        <w:rPr>
          <w:rFonts w:ascii="Times New Roman" w:cs="Times New Roman" w:eastAsia="Times New Roman" w:hAnsi="Times New Roman"/>
          <w:sz w:val="18"/>
          <w:szCs w:val="18"/>
          <w:color w:val="auto"/>
        </w:rPr>
      </w:pPr>
    </w:p>
    <w:p>
      <w:pPr>
        <w:ind w:left="-1120" w:firstLine="1304"/>
        <w:spacing w:after="0" w:line="261" w:lineRule="auto"/>
        <w:tabs>
          <w:tab w:leader="none" w:pos="761"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signature pages that together (but need not individually) bear the signatures of all other parties.</w:t>
      </w:r>
    </w:p>
    <w:p>
      <w:pPr>
        <w:spacing w:after="0" w:line="179" w:lineRule="exact"/>
        <w:rPr>
          <w:rFonts w:ascii="Times New Roman" w:cs="Times New Roman" w:eastAsia="Times New Roman" w:hAnsi="Times New Roman"/>
          <w:sz w:val="18"/>
          <w:szCs w:val="18"/>
          <w:color w:val="auto"/>
        </w:rPr>
      </w:pPr>
    </w:p>
    <w:p>
      <w:pPr>
        <w:ind w:left="-1120" w:right="40" w:firstLine="1304"/>
        <w:spacing w:after="0" w:line="258" w:lineRule="auto"/>
        <w:tabs>
          <w:tab w:leader="none" w:pos="79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agreements referenced herein, sets forth the entire agreement of the parties with respect to the subject matter hereof and thereof and supersedes all prior and contemporaneous understandings and agreements related thereto (whether written or oral), all of which are merged herein. No provision of this Agreement may be explained or qualified by any agreement, negotiations, understanding, discussion, conduct or course of conduct or by any trade usage. Except as otherwise expressly stated herein, there is no condition precedent to the effectiveness of any provision hereof or thereof.</w:t>
      </w:r>
    </w:p>
    <w:p>
      <w:pPr>
        <w:spacing w:after="0" w:line="183" w:lineRule="exact"/>
        <w:rPr>
          <w:rFonts w:ascii="Times New Roman" w:cs="Times New Roman" w:eastAsia="Times New Roman" w:hAnsi="Times New Roman"/>
          <w:sz w:val="18"/>
          <w:szCs w:val="18"/>
          <w:color w:val="auto"/>
        </w:rPr>
      </w:pPr>
    </w:p>
    <w:p>
      <w:pPr>
        <w:ind w:left="-1120" w:firstLine="1304"/>
        <w:spacing w:after="0" w:line="261" w:lineRule="auto"/>
        <w:tabs>
          <w:tab w:leader="none" w:pos="79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79" w:lineRule="exact"/>
        <w:rPr>
          <w:rFonts w:ascii="Times New Roman" w:cs="Times New Roman" w:eastAsia="Times New Roman" w:hAnsi="Times New Roman"/>
          <w:sz w:val="18"/>
          <w:szCs w:val="18"/>
          <w:color w:val="auto"/>
        </w:rPr>
      </w:pPr>
    </w:p>
    <w:p>
      <w:pPr>
        <w:ind w:left="-1120" w:right="40" w:firstLine="1304"/>
        <w:spacing w:after="0" w:line="253" w:lineRule="auto"/>
        <w:tabs>
          <w:tab w:leader="none" w:pos="751"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Any reference to any federal, state, local or foreign Law will be deemed also to refer to Law as amended and all rules and regulations promulgated thereunder, unless the context requires otherwise. The words “</w:t>
      </w:r>
      <w:r>
        <w:rPr>
          <w:rFonts w:ascii="Times New Roman" w:cs="Times New Roman" w:eastAsia="Times New Roman" w:hAnsi="Times New Roman"/>
          <w:sz w:val="18"/>
          <w:szCs w:val="18"/>
          <w:i w:val="1"/>
          <w:i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will be deemed to be followed by “</w:t>
      </w:r>
      <w:r>
        <w:rPr>
          <w:rFonts w:ascii="Times New Roman" w:cs="Times New Roman" w:eastAsia="Times New Roman" w:hAnsi="Times New Roman"/>
          <w:sz w:val="18"/>
          <w:szCs w:val="18"/>
          <w:i w:val="1"/>
          <w:iCs w:val="1"/>
          <w:color w:val="auto"/>
        </w:rPr>
        <w:t>without limitation</w:t>
      </w:r>
      <w:r>
        <w:rPr>
          <w:rFonts w:ascii="Times New Roman" w:cs="Times New Roman" w:eastAsia="Times New Roman" w:hAnsi="Times New Roman"/>
          <w:sz w:val="18"/>
          <w:szCs w:val="18"/>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Times New Roman" w:cs="Times New Roman" w:eastAsia="Times New Roman" w:hAnsi="Times New Roman"/>
          <w:sz w:val="18"/>
          <w:szCs w:val="18"/>
          <w:i w:val="1"/>
          <w:iCs w:val="1"/>
          <w:color w:val="auto"/>
        </w:rPr>
        <w:t>this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hereby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hereunder</w:t>
      </w:r>
      <w:r>
        <w:rPr>
          <w:rFonts w:ascii="Times New Roman" w:cs="Times New Roman" w:eastAsia="Times New Roman" w:hAnsi="Times New Roman"/>
          <w:sz w:val="18"/>
          <w:szCs w:val="18"/>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431800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37" w:right="359" w:bottom="1440" w:gutter="0" w:footer="0" w:header="0"/>
        </w:sectPr>
      </w:pPr>
    </w:p>
    <w:bookmarkStart w:id="233" w:name="page234"/>
    <w:bookmarkEnd w:id="233"/>
    <w:p>
      <w:pPr>
        <w:ind w:left="-100" w:firstLine="1304"/>
        <w:spacing w:after="0" w:line="253" w:lineRule="auto"/>
        <w:tabs>
          <w:tab w:leader="none" w:pos="1771"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a party hereto,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455930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20" w:top="337" w:right="41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executed this Agreement to be effective as of the date first set forth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PURCHASING PARTIES:</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RTW MASTER FUND, LTD.</w:t>
      </w:r>
    </w:p>
    <w:p>
      <w:pPr>
        <w:spacing w:after="0" w:line="2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-121920</wp:posOffset>
            </wp:positionV>
            <wp:extent cx="335153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RTW INNOVATION MASTER FUND, LTD.</w:t>
      </w:r>
    </w:p>
    <w:p>
      <w:pPr>
        <w:spacing w:after="0" w:line="2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-121920</wp:posOffset>
            </wp:positionV>
            <wp:extent cx="335153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RTW VENTURE FUND LIMITED</w:t>
      </w:r>
    </w:p>
    <w:p>
      <w:pPr>
        <w:spacing w:after="0" w:line="2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RTW Investments, LP, its Investment Manager</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-121920</wp:posOffset>
            </wp:positionV>
            <wp:extent cx="335153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4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 for Notices:</w:t>
      </w:r>
    </w:p>
    <w:p>
      <w:pPr>
        <w:ind w:left="4980"/>
        <w:spacing w:after="0" w:line="195" w:lineRule="auto"/>
        <w:rPr>
          <w:sz w:val="20"/>
          <w:szCs w:val="20"/>
          <w:color w:val="auto"/>
        </w:rPr>
      </w:pPr>
      <w:r>
        <w:rPr>
          <w:rFonts w:ascii="Times New Roman" w:cs="Times New Roman" w:eastAsia="Times New Roman" w:hAnsi="Times New Roman"/>
          <w:sz w:val="18"/>
          <w:szCs w:val="18"/>
          <w:color w:val="auto"/>
        </w:rPr>
        <w:t>40 10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Floor 7</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New York, NY 10014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450215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33" w:right="1440" w:bottom="1440" w:gutter="0" w:footer="0" w:header="0"/>
        </w:sectPr>
      </w:pPr>
    </w:p>
    <w:bookmarkStart w:id="235" w:name="page236"/>
    <w:bookmarkEnd w:id="235"/>
    <w:p>
      <w:pPr>
        <w:ind w:left="452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Health Sciences Acquisitions Corporation 2</w:t>
      </w:r>
    </w:p>
    <w:p>
      <w:pPr>
        <w:spacing w:after="0" w:line="22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24765</wp:posOffset>
            </wp:positionV>
            <wp:extent cx="33432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36" w:name="page237"/>
    <w:bookmarkEnd w:id="236"/>
    <w:p>
      <w:pPr>
        <w:ind w:left="45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Orchestra BioMed, Inc.</w:t>
      </w:r>
    </w:p>
    <w:p>
      <w:pPr>
        <w:spacing w:after="0" w:line="22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24765</wp:posOffset>
            </wp:positionV>
            <wp:extent cx="334327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David Hochman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314325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 PURCHASE AGREEMENT</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This Forward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July 4, 2022, by and among Health Sciences Acquisitions Corporation 2, a Cayman Islands exempted company (which shall deregister in the Cayman Islands and domesticate as a Delaware corporation prior to the Merger Closing,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Orchestra BioMed,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Covidien Group S.à.r.l. (the “</w:t>
      </w:r>
      <w:r>
        <w:rPr>
          <w:rFonts w:ascii="Times New Roman" w:cs="Times New Roman" w:eastAsia="Times New Roman" w:hAnsi="Times New Roman"/>
          <w:sz w:val="18"/>
          <w:szCs w:val="18"/>
          <w:u w:val="single" w:color="auto"/>
          <w:color w:val="auto"/>
        </w:rPr>
        <w:t>Purchasing Party</w:t>
      </w:r>
      <w:r>
        <w:rPr>
          <w:rFonts w:ascii="Times New Roman" w:cs="Times New Roman" w:eastAsia="Times New Roman" w:hAnsi="Times New Roman"/>
          <w:sz w:val="18"/>
          <w:szCs w:val="18"/>
          <w:color w:val="auto"/>
        </w:rPr>
        <w:t>”). Capitalized terms used but not defined in this Agreement shall have the meanings ascribed to such terms in that certain Agreement and Plan of Merger, dated as of the date of this Agreement, by and among Parent, the Company and HSAC Olympus Merger Sub, Inc.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WHEREAS, in connection with the Closing under the Merger Agreement (the “</w:t>
      </w:r>
      <w:r>
        <w:rPr>
          <w:rFonts w:ascii="Times New Roman" w:cs="Times New Roman" w:eastAsia="Times New Roman" w:hAnsi="Times New Roman"/>
          <w:sz w:val="18"/>
          <w:szCs w:val="18"/>
          <w:u w:val="single" w:color="auto"/>
          <w:color w:val="auto"/>
        </w:rPr>
        <w:t>Merger Closing</w:t>
      </w:r>
      <w:r>
        <w:rPr>
          <w:rFonts w:ascii="Times New Roman" w:cs="Times New Roman" w:eastAsia="Times New Roman" w:hAnsi="Times New Roman"/>
          <w:sz w:val="18"/>
          <w:szCs w:val="18"/>
          <w:color w:val="auto"/>
        </w:rPr>
        <w:t>”), the Purchasing Party wishes to purchase, up to 1,000,000 Parent Ordinary Shares on the terms and conditions set forth herein; and</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representations, warranties and the mutual covenants contained in this Agreement, and for other good and valuable consideration, the receipt, sufficiency and adequacy of which are hereby acknowledged, the parties hereto agree as follows:</w:t>
      </w:r>
    </w:p>
    <w:p>
      <w:pPr>
        <w:spacing w:after="0" w:line="158" w:lineRule="exact"/>
        <w:rPr>
          <w:sz w:val="20"/>
          <w:szCs w:val="20"/>
          <w:color w:val="auto"/>
        </w:rPr>
      </w:pPr>
    </w:p>
    <w:p>
      <w:pPr>
        <w:ind w:right="120" w:firstLine="656"/>
        <w:spacing w:after="0" w:line="256" w:lineRule="auto"/>
        <w:tabs>
          <w:tab w:leader="none" w:pos="1278"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Forward Purchase Shares. </w:t>
      </w:r>
      <w:r>
        <w:rPr>
          <w:rFonts w:ascii="Times New Roman" w:cs="Times New Roman" w:eastAsia="Times New Roman" w:hAnsi="Times New Roman"/>
          <w:sz w:val="18"/>
          <w:szCs w:val="18"/>
          <w:color w:val="auto"/>
        </w:rPr>
        <w:t>Parent shall issue and sell to the Purchasing Party, and the Purchasing Party shall purchase from Parent,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Parent Ordinary Shares (the “</w:t>
      </w:r>
      <w:r>
        <w:rPr>
          <w:rFonts w:ascii="Times New Roman" w:cs="Times New Roman" w:eastAsia="Times New Roman" w:hAnsi="Times New Roman"/>
          <w:sz w:val="18"/>
          <w:szCs w:val="18"/>
          <w:u w:val="single" w:color="auto"/>
          <w:color w:val="auto"/>
        </w:rPr>
        <w:t>Forward Purchase Shares</w:t>
      </w:r>
      <w:r>
        <w:rPr>
          <w:rFonts w:ascii="Times New Roman" w:cs="Times New Roman" w:eastAsia="Times New Roman" w:hAnsi="Times New Roman"/>
          <w:sz w:val="18"/>
          <w:szCs w:val="18"/>
          <w:color w:val="auto"/>
        </w:rPr>
        <w:t xml:space="preserve">”) equal to (a) (i) $10,000,000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aggregate dollar amount paid by the Purchasing Party to purchase Parent Ordinary Shares having redemption rights following the date hereof until immediately prior to the Share Purchase Closing that the Purchasing Party continues to directly own at such time (the “</w:t>
      </w:r>
      <w:r>
        <w:rPr>
          <w:rFonts w:ascii="Times New Roman" w:cs="Times New Roman" w:eastAsia="Times New Roman" w:hAnsi="Times New Roman"/>
          <w:sz w:val="18"/>
          <w:szCs w:val="18"/>
          <w:u w:val="single" w:color="auto"/>
          <w:color w:val="auto"/>
        </w:rPr>
        <w:t>Market Transaction Shares</w:t>
      </w:r>
      <w:r>
        <w:rPr>
          <w:rFonts w:ascii="Times New Roman" w:cs="Times New Roman" w:eastAsia="Times New Roman" w:hAnsi="Times New Roman"/>
          <w:sz w:val="18"/>
          <w:szCs w:val="18"/>
          <w:color w:val="auto"/>
        </w:rPr>
        <w:t>”), divided by (b) $10.00 (the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For the avoidance of doubt, in no event shall the aggregate amount of funds received by Parent in respect of the Forward Purchase Shares, when taken together with funds that continue to be held in the Trust Account at the Merger Closing in respect of the Market Transaction Shares, be less than $10,000,000.</w:t>
      </w:r>
    </w:p>
    <w:p>
      <w:pPr>
        <w:spacing w:after="0" w:line="182" w:lineRule="exact"/>
        <w:rPr>
          <w:rFonts w:ascii="Times New Roman" w:cs="Times New Roman" w:eastAsia="Times New Roman" w:hAnsi="Times New Roman"/>
          <w:sz w:val="18"/>
          <w:szCs w:val="18"/>
          <w:b w:val="1"/>
          <w:bCs w:val="1"/>
          <w:color w:val="auto"/>
        </w:rPr>
      </w:pPr>
    </w:p>
    <w:p>
      <w:pPr>
        <w:ind w:left="1280" w:hanging="624"/>
        <w:spacing w:after="0"/>
        <w:tabs>
          <w:tab w:leader="none" w:pos="1280"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Purchase Closing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20" w:firstLine="1304"/>
        <w:spacing w:after="0" w:line="258" w:lineRule="auto"/>
        <w:tabs>
          <w:tab w:leader="none" w:pos="190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closing of the sale of the Forward Purchase Shares, if any (the “</w:t>
      </w:r>
      <w:r>
        <w:rPr>
          <w:rFonts w:ascii="Times New Roman" w:cs="Times New Roman" w:eastAsia="Times New Roman" w:hAnsi="Times New Roman"/>
          <w:sz w:val="18"/>
          <w:szCs w:val="18"/>
          <w:u w:val="single" w:color="auto"/>
          <w:color w:val="auto"/>
        </w:rPr>
        <w:t>Share Purchase Closing</w:t>
      </w:r>
      <w:r>
        <w:rPr>
          <w:rFonts w:ascii="Times New Roman" w:cs="Times New Roman" w:eastAsia="Times New Roman" w:hAnsi="Times New Roman"/>
          <w:sz w:val="18"/>
          <w:szCs w:val="18"/>
          <w:color w:val="auto"/>
        </w:rPr>
        <w:t xml:space="preserve">”), shall be held on the Closing Date, immediately prior to the Domestication. At the Share Purchase Closing, Parent will issue to the Purchasing Party the Forward Shares against (and concurrently with) the payment to Parent by the Purchasing Party of an amount equal to the product of (i) the number of Forward Purchase Shares, multiplied by (ii) the Per Share Price. All payments required to be made to Parent by the Purchasing Party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shall be made by wire transfer of immediately available funds pursuant to written instructions provided by Parent to the Purchasing Party.</w:t>
      </w:r>
    </w:p>
    <w:p>
      <w:pPr>
        <w:spacing w:after="0" w:line="183"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Forward Purchase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952"/>
        <w:spacing w:after="0" w:line="312" w:lineRule="auto"/>
        <w:tabs>
          <w:tab w:leader="none" w:pos="2429" w:val="left"/>
        </w:tabs>
        <w:numPr>
          <w:ilvl w:val="2"/>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register the Purchasing Party as the owner of the Forward Purchase Shares on Parent’s share register and with Parent’s transfer agent by book entry on or promptly after (but in no event more than two (2) Business Days after) the date of the Share Purchase Closing.</w:t>
      </w:r>
    </w:p>
    <w:p>
      <w:pPr>
        <w:spacing w:after="0" w:line="139" w:lineRule="exact"/>
        <w:rPr>
          <w:rFonts w:ascii="Times New Roman" w:cs="Times New Roman" w:eastAsia="Times New Roman" w:hAnsi="Times New Roman"/>
          <w:sz w:val="17"/>
          <w:szCs w:val="17"/>
          <w:color w:val="auto"/>
        </w:rPr>
      </w:pPr>
    </w:p>
    <w:p>
      <w:pPr>
        <w:ind w:right="500" w:firstLine="1952"/>
        <w:spacing w:after="0" w:line="282" w:lineRule="auto"/>
        <w:tabs>
          <w:tab w:leader="none" w:pos="2479" w:val="left"/>
        </w:tabs>
        <w:numPr>
          <w:ilvl w:val="2"/>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register and book entry for the Forward Purchase Shares shall contain a notation, and each certificate (if any) evidencing the Forward Purchase Shares shall be stamped or otherwise imprinted with a legend, in substantially the following form:</w:t>
      </w:r>
    </w:p>
    <w:p>
      <w:pPr>
        <w:spacing w:after="0" w:line="162" w:lineRule="exact"/>
        <w:rPr>
          <w:sz w:val="20"/>
          <w:szCs w:val="20"/>
          <w:color w:val="auto"/>
        </w:rPr>
      </w:pPr>
    </w:p>
    <w:p>
      <w:pPr>
        <w:ind w:left="660" w:right="540"/>
        <w:spacing w:after="0" w:line="266"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U.S. SECURITIES ACT OF 1933, AS AMENDED, OR THE SECURITIES LAWS OF ANY STATE OR OTHER JURISDICTION, AND MAY NOT BE TRANSFERRED IN VIOLATION OF SUCH ACT AND LAWS.</w:t>
      </w:r>
    </w:p>
    <w:p>
      <w:pPr>
        <w:spacing w:after="0" w:line="176" w:lineRule="exact"/>
        <w:rPr>
          <w:sz w:val="20"/>
          <w:szCs w:val="20"/>
          <w:color w:val="auto"/>
        </w:rPr>
      </w:pPr>
    </w:p>
    <w:p>
      <w:pPr>
        <w:ind w:right="280" w:firstLine="1304"/>
        <w:spacing w:after="0" w:line="289" w:lineRule="auto"/>
        <w:tabs>
          <w:tab w:leader="none" w:pos="1901"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sales permitted pursuant to Rule 144 promulgated under the Exchange Act, if required by Parent’s transfer agent, Parent will promptly cause an opinion of counsel to be delivered to its transfer agent, together with any other authorizations, certificates and directions required by the transfer agent that authorize and direct the transfer agent to transfer such Forward Purchase Shares without any such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38" w:name="page239"/>
    <w:bookmarkEnd w:id="238"/>
    <w:p>
      <w:pPr>
        <w:jc w:val="both"/>
        <w:ind w:left="-656" w:firstLine="1304"/>
        <w:spacing w:after="0" w:line="261" w:lineRule="auto"/>
        <w:tabs>
          <w:tab w:leader="none" w:pos="1165"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 Purchasing Party shall have registration rights with respect to their Forward Purchase Shares as set forth in the Registration Rights Agreement that will be entered into by and among Parent, the Purchasing Party, the Company and certain other parties thereto in connection with the consummation of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and the form of which is attached to the Merger Agreement as Exhibit C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56" w:right="120" w:firstLine="1304"/>
        <w:spacing w:after="0" w:line="266" w:lineRule="auto"/>
        <w:tabs>
          <w:tab w:leader="none" w:pos="115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Notional Amounts</w:t>
      </w:r>
      <w:r>
        <w:rPr>
          <w:rFonts w:ascii="Times New Roman" w:cs="Times New Roman" w:eastAsia="Times New Roman" w:hAnsi="Times New Roman"/>
          <w:sz w:val="18"/>
          <w:szCs w:val="18"/>
          <w:color w:val="auto"/>
        </w:rPr>
        <w:t>. In the event of any change to the capital structure of Parent, whether dilutive or otherwise, by way of a share dividend, share split, or any other similar transaction however described, the number of Forward Purchase Shares, and/or the Per Share Price, as applicable, will be adjusted as necessary to account for such changes.</w:t>
      </w:r>
    </w:p>
    <w:p>
      <w:pPr>
        <w:spacing w:after="0" w:line="171" w:lineRule="exact"/>
        <w:rPr>
          <w:rFonts w:ascii="Times New Roman" w:cs="Times New Roman" w:eastAsia="Times New Roman" w:hAnsi="Times New Roman"/>
          <w:sz w:val="18"/>
          <w:szCs w:val="18"/>
          <w:color w:val="auto"/>
        </w:rPr>
      </w:pPr>
    </w:p>
    <w:p>
      <w:pPr>
        <w:ind w:left="-656" w:right="140" w:firstLine="656"/>
        <w:spacing w:after="0" w:line="286" w:lineRule="auto"/>
        <w:tabs>
          <w:tab w:leader="none" w:pos="622"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Purchasing Party</w:t>
      </w:r>
      <w:r>
        <w:rPr>
          <w:rFonts w:ascii="Times New Roman" w:cs="Times New Roman" w:eastAsia="Times New Roman" w:hAnsi="Times New Roman"/>
          <w:sz w:val="18"/>
          <w:szCs w:val="18"/>
          <w:color w:val="auto"/>
        </w:rPr>
        <w:t>. The Purchasing Party represents and warrants, severally and not jointly,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Parent and the Company as follows:</w:t>
      </w:r>
    </w:p>
    <w:p>
      <w:pPr>
        <w:spacing w:after="0" w:line="158" w:lineRule="exact"/>
        <w:rPr>
          <w:rFonts w:ascii="Times New Roman" w:cs="Times New Roman" w:eastAsia="Times New Roman" w:hAnsi="Times New Roman"/>
          <w:sz w:val="18"/>
          <w:szCs w:val="18"/>
          <w:b w:val="1"/>
          <w:bCs w:val="1"/>
          <w:color w:val="auto"/>
        </w:rPr>
      </w:pPr>
    </w:p>
    <w:p>
      <w:pPr>
        <w:ind w:left="-656" w:right="320" w:firstLine="1304"/>
        <w:spacing w:after="0" w:line="282" w:lineRule="auto"/>
        <w:tabs>
          <w:tab w:leader="none" w:pos="1154"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The Purchasing Party is duly organized, validly existing, and in good standing under the Laws of the jurisdiction of its formation and has all requisite power and authority to carry on its business as presently conducted and as proposed to be conducted.</w:t>
      </w:r>
    </w:p>
    <w:p>
      <w:pPr>
        <w:spacing w:after="0" w:line="161" w:lineRule="exact"/>
        <w:rPr>
          <w:rFonts w:ascii="Times New Roman" w:cs="Times New Roman" w:eastAsia="Times New Roman" w:hAnsi="Times New Roman"/>
          <w:sz w:val="18"/>
          <w:szCs w:val="18"/>
          <w:color w:val="auto"/>
        </w:rPr>
      </w:pPr>
    </w:p>
    <w:p>
      <w:pPr>
        <w:ind w:left="-656" w:firstLine="1304"/>
        <w:spacing w:after="0" w:line="256" w:lineRule="auto"/>
        <w:tabs>
          <w:tab w:leader="none" w:pos="1165"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Purchasing Party has full power and authority to enter into this Agreement. This Agreement, when executed and delivered by the Purchasing Party, will constitute the valid and legally binding obligation of Purchasing Party, enforceable in accordance with its terms, except (i) as limited by applicable bankruptcy, insolvency, reorganization, moratorium, fraudulent conveyance and any other Laws of general application affecting enforcement of creditors’ rights generally, (ii) as limited by Laws relating to the availability of specific performance, injunctive relief or other equitable remedies, or (iii) to the extent the indemnification provisions contained in the Registration Rights Agreement may be limited by applicable federal or state securities Laws.</w:t>
      </w:r>
    </w:p>
    <w:p>
      <w:pPr>
        <w:spacing w:after="0" w:line="187" w:lineRule="exact"/>
        <w:rPr>
          <w:rFonts w:ascii="Times New Roman" w:cs="Times New Roman" w:eastAsia="Times New Roman" w:hAnsi="Times New Roman"/>
          <w:sz w:val="18"/>
          <w:szCs w:val="18"/>
          <w:color w:val="auto"/>
        </w:rPr>
      </w:pPr>
    </w:p>
    <w:p>
      <w:pPr>
        <w:ind w:left="-656" w:right="280" w:firstLine="1304"/>
        <w:spacing w:after="0" w:line="266" w:lineRule="auto"/>
        <w:tabs>
          <w:tab w:leader="none" w:pos="1154"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Consents and Filings</w:t>
      </w:r>
      <w:r>
        <w:rPr>
          <w:rFonts w:ascii="Times New Roman" w:cs="Times New Roman" w:eastAsia="Times New Roman" w:hAnsi="Times New Roman"/>
          <w:sz w:val="18"/>
          <w:szCs w:val="18"/>
          <w:color w:val="auto"/>
        </w:rPr>
        <w:t>. No consent, approval, order or authorization of, or registration, qualification, designation, declaration or filing with, any federal, state or local governmental authority is required on the part of the Purchasing Party in connection with the consummation of the transactions contemplated by this Agreement.</w:t>
      </w:r>
    </w:p>
    <w:p>
      <w:pPr>
        <w:spacing w:after="0" w:line="175" w:lineRule="exact"/>
        <w:rPr>
          <w:rFonts w:ascii="Times New Roman" w:cs="Times New Roman" w:eastAsia="Times New Roman" w:hAnsi="Times New Roman"/>
          <w:sz w:val="18"/>
          <w:szCs w:val="18"/>
          <w:color w:val="auto"/>
        </w:rPr>
      </w:pPr>
    </w:p>
    <w:p>
      <w:pPr>
        <w:ind w:left="-656" w:right="60" w:firstLine="1304"/>
        <w:spacing w:after="0" w:line="256" w:lineRule="auto"/>
        <w:tabs>
          <w:tab w:leader="none" w:pos="1165"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execution, delivery and performance by the Purchasing Party of this Agreement and the consummation by the Purchasing Party of the transactions contemplated by this Agreement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 (v) of any provision of federal or state statute, rule or regulation applicable to the Purchasing Party, in each case (other than clause (i)), which would have a material adverse effect on the Purchasing Party or its ability to consummate the transactions contemplated by this Agreement.</w:t>
      </w:r>
    </w:p>
    <w:p>
      <w:pPr>
        <w:spacing w:after="0" w:line="187" w:lineRule="exact"/>
        <w:rPr>
          <w:rFonts w:ascii="Times New Roman" w:cs="Times New Roman" w:eastAsia="Times New Roman" w:hAnsi="Times New Roman"/>
          <w:sz w:val="18"/>
          <w:szCs w:val="18"/>
          <w:color w:val="auto"/>
        </w:rPr>
      </w:pPr>
    </w:p>
    <w:p>
      <w:pPr>
        <w:ind w:left="-656" w:right="40" w:firstLine="1304"/>
        <w:spacing w:after="0" w:line="255" w:lineRule="auto"/>
        <w:tabs>
          <w:tab w:leader="none" w:pos="1154"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Purchasing Party in reliance upon the Purchasing Party’s representation to Parent, which by the Purchasing Party’s execution of this Agreement, the Purchasing Party hereby confirms, that the Forward Purchase Shares to be acquired by the Purchasing Party will be acquired for investment for the Purchasing Party’s own account, not as a nominee or agent, and not with a view to the resale or distribution of any part thereof, and that the Purchasing Party has no present intention of selling, granting any participation in, or otherwise distributing the same in violation of Law. By executing this Agreement, the Purchasing Party further represents that the Purchasing Party does not presently have any contract, undertaking, agreement or arrangement with any Person to sell, transfer or grant participations to such Person or to any third Person, with respect to any of the Forward Purchase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431165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7" w:right="359" w:bottom="1440" w:gutter="0" w:footer="0" w:header="0"/>
        </w:sectPr>
      </w:pPr>
    </w:p>
    <w:bookmarkStart w:id="239" w:name="page240"/>
    <w:bookmarkEnd w:id="239"/>
    <w:p>
      <w:pPr>
        <w:ind w:right="220" w:firstLine="1304"/>
        <w:spacing w:after="0" w:line="266" w:lineRule="auto"/>
        <w:tabs>
          <w:tab w:leader="none" w:pos="179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The Purchasing Party has had an opportunity to discuss Parent’s existing and planned or expected business, management, financial affairs and the terms and conditions of the purchase and sale of the Forward Purchase Shares, as well as the terms of the Transactions, with Parent’s management.</w:t>
      </w:r>
    </w:p>
    <w:p>
      <w:pPr>
        <w:spacing w:after="0" w:line="175" w:lineRule="exact"/>
        <w:rPr>
          <w:rFonts w:ascii="Times New Roman" w:cs="Times New Roman" w:eastAsia="Times New Roman" w:hAnsi="Times New Roman"/>
          <w:sz w:val="18"/>
          <w:szCs w:val="18"/>
          <w:color w:val="auto"/>
        </w:rPr>
      </w:pPr>
    </w:p>
    <w:p>
      <w:pPr>
        <w:ind w:right="20" w:firstLine="1304"/>
        <w:spacing w:after="0" w:line="253" w:lineRule="auto"/>
        <w:tabs>
          <w:tab w:leader="none" w:pos="182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Forward Purchase Shares</w:t>
      </w:r>
      <w:r>
        <w:rPr>
          <w:rFonts w:ascii="Times New Roman" w:cs="Times New Roman" w:eastAsia="Times New Roman" w:hAnsi="Times New Roman"/>
          <w:sz w:val="18"/>
          <w:szCs w:val="18"/>
          <w:color w:val="auto"/>
        </w:rPr>
        <w:t>. The Purchasing Party understands that the offer and sale of the Forward Purchase Shares to the Purchasing Party has not been, and will not be, registered under the Securities Act, by reason of a specific exemption from the registration provisions of the Securities Act which depends upon, among other things, the bona fide nature of the investment intent and the accuracy of the Purchasing Party’s representations as expressed herein. The Purchasing Party understands that the Forward Purchase Shares are “restricted securities” under applicable U.S. federal and state securities Laws and that, pursuant to these Laws, the Purchasing Party must hold the Forward Purchase Shares indefinitely unless they are registered with the SEC and qualified by state authorities, or an exemption from such registration and qualification requirements is available. The Purchasing Party acknowledges that Parent has no obligation to register or qualify the Forward Purchase Shares, or any securities into which the Forward Purchase Shares may be converted into or exercised for, for resale, except pursuant to the Registration Rights Agreement. The Purchasing Party further acknowledges that if an exemption from registration or qualification is available, it may be conditioned on various requirements including, but not limited to, the time and manner of sale, the holding period for the Forward Purchase Shares, and on requirements relating to Parent which are outside of the Purchasing Party’s control, and which Parent is under no obligation and may not be able to satisfy.</w:t>
      </w:r>
    </w:p>
    <w:p>
      <w:pPr>
        <w:spacing w:after="0" w:line="191" w:lineRule="exact"/>
        <w:rPr>
          <w:rFonts w:ascii="Times New Roman" w:cs="Times New Roman" w:eastAsia="Times New Roman" w:hAnsi="Times New Roman"/>
          <w:sz w:val="18"/>
          <w:szCs w:val="18"/>
          <w:color w:val="auto"/>
        </w:rPr>
      </w:pPr>
    </w:p>
    <w:p>
      <w:pPr>
        <w:ind w:right="260" w:firstLine="1304"/>
        <w:spacing w:after="0" w:line="282" w:lineRule="auto"/>
        <w:tabs>
          <w:tab w:leader="none" w:pos="182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High Degree of Risk</w:t>
      </w:r>
      <w:r>
        <w:rPr>
          <w:rFonts w:ascii="Times New Roman" w:cs="Times New Roman" w:eastAsia="Times New Roman" w:hAnsi="Times New Roman"/>
          <w:sz w:val="18"/>
          <w:szCs w:val="18"/>
          <w:color w:val="auto"/>
        </w:rPr>
        <w:t>. The Purchasing Party understands that its agreement to purchase the Forward Purchase Shares involves a high degree of risk, which could cause the Purchasing Party to lose all or part of its investment.</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Purchasing Party is an “accredited investor” as defined in Rule 501(a) of Regulation D promulgated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w:t>
      </w:r>
    </w:p>
    <w:p>
      <w:pPr>
        <w:spacing w:after="0" w:line="206" w:lineRule="exact"/>
        <w:rPr>
          <w:rFonts w:ascii="Times New Roman" w:cs="Times New Roman" w:eastAsia="Times New Roman" w:hAnsi="Times New Roman"/>
          <w:sz w:val="18"/>
          <w:szCs w:val="18"/>
          <w:color w:val="auto"/>
        </w:rPr>
      </w:pPr>
    </w:p>
    <w:p>
      <w:pPr>
        <w:ind w:firstLine="1304"/>
        <w:spacing w:after="0" w:line="266" w:lineRule="auto"/>
        <w:tabs>
          <w:tab w:leader="none" w:pos="178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Purchasing Party, nor any of its officers, directors, employees, agents, stockholders or partners has either directly or indirectly, including, through a broker or finder (i) to its knowledge, engaged in any general solicitation, or (ii) published any advertisement in connection with the purchase and sale of the Forward Purchase Shares.</w:t>
      </w:r>
    </w:p>
    <w:p>
      <w:pPr>
        <w:spacing w:after="0" w:line="175" w:lineRule="exact"/>
        <w:rPr>
          <w:rFonts w:ascii="Times New Roman" w:cs="Times New Roman" w:eastAsia="Times New Roman" w:hAnsi="Times New Roman"/>
          <w:sz w:val="18"/>
          <w:szCs w:val="18"/>
          <w:color w:val="auto"/>
        </w:rPr>
      </w:pPr>
    </w:p>
    <w:p>
      <w:pPr>
        <w:ind w:right="140" w:firstLine="1304"/>
        <w:spacing w:after="0" w:line="282" w:lineRule="auto"/>
        <w:tabs>
          <w:tab w:leader="none" w:pos="182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The Purchasing Party acknowledges its obligations under applicable securities Laws with respect to the treatment of material non-public information relating to Parent.</w:t>
      </w:r>
    </w:p>
    <w:p>
      <w:pPr>
        <w:spacing w:after="0" w:line="161" w:lineRule="exact"/>
        <w:rPr>
          <w:rFonts w:ascii="Times New Roman" w:cs="Times New Roman" w:eastAsia="Times New Roman" w:hAnsi="Times New Roman"/>
          <w:sz w:val="18"/>
          <w:szCs w:val="18"/>
          <w:color w:val="auto"/>
        </w:rPr>
      </w:pPr>
    </w:p>
    <w:p>
      <w:pPr>
        <w:ind w:right="120" w:firstLine="1304"/>
        <w:spacing w:after="0" w:line="282" w:lineRule="auto"/>
        <w:tabs>
          <w:tab w:leader="none" w:pos="178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Adequacy of Financing</w:t>
      </w:r>
      <w:r>
        <w:rPr>
          <w:rFonts w:ascii="Times New Roman" w:cs="Times New Roman" w:eastAsia="Times New Roman" w:hAnsi="Times New Roman"/>
          <w:sz w:val="18"/>
          <w:szCs w:val="18"/>
          <w:color w:val="auto"/>
        </w:rPr>
        <w:t>. The Purchasing Party will have at the Share Purchase Closing available to it sufficient funds to satisfy its obligations under this Agreement.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87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Affiliation of Certain FINRA Members</w:t>
      </w:r>
      <w:r>
        <w:rPr>
          <w:rFonts w:ascii="Times New Roman" w:cs="Times New Roman" w:eastAsia="Times New Roman" w:hAnsi="Times New Roman"/>
          <w:sz w:val="18"/>
          <w:szCs w:val="18"/>
          <w:color w:val="auto"/>
        </w:rPr>
        <w:t>. The Purchasing Party is neither a person associated nor affiliated with any underwriter of the IPO or, to its actual knowledge, any other member of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that participated in the IPO.</w:t>
      </w:r>
    </w:p>
    <w:p>
      <w:pPr>
        <w:spacing w:after="0" w:line="161" w:lineRule="exact"/>
        <w:rPr>
          <w:rFonts w:ascii="Times New Roman" w:cs="Times New Roman" w:eastAsia="Times New Roman" w:hAnsi="Times New Roman"/>
          <w:sz w:val="18"/>
          <w:szCs w:val="18"/>
          <w:color w:val="auto"/>
        </w:rPr>
      </w:pPr>
    </w:p>
    <w:p>
      <w:pPr>
        <w:ind w:right="80" w:firstLine="1304"/>
        <w:spacing w:after="0" w:line="282" w:lineRule="auto"/>
        <w:tabs>
          <w:tab w:leader="none" w:pos="182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Finder’s Fees</w:t>
      </w:r>
      <w:r>
        <w:rPr>
          <w:rFonts w:ascii="Times New Roman" w:cs="Times New Roman" w:eastAsia="Times New Roman" w:hAnsi="Times New Roman"/>
          <w:sz w:val="18"/>
          <w:szCs w:val="18"/>
          <w:color w:val="auto"/>
        </w:rPr>
        <w:t>. The Purchasing Party is not and will not be obligated for any finder’s fee or commission in connection with the transactions contemplated by this Agreement.</w:t>
      </w:r>
    </w:p>
    <w:p>
      <w:pPr>
        <w:spacing w:after="0" w:line="161" w:lineRule="exact"/>
        <w:rPr>
          <w:rFonts w:ascii="Times New Roman" w:cs="Times New Roman" w:eastAsia="Times New Roman" w:hAnsi="Times New Roman"/>
          <w:sz w:val="18"/>
          <w:szCs w:val="18"/>
          <w:color w:val="auto"/>
        </w:rPr>
      </w:pPr>
    </w:p>
    <w:p>
      <w:pPr>
        <w:ind w:right="40" w:firstLine="1304"/>
        <w:spacing w:after="0" w:line="256" w:lineRule="auto"/>
        <w:tabs>
          <w:tab w:leader="none" w:pos="186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Purchasing Party, nor any director, officer, agent, employee or other Person acting on behalf of the Purchasing Party has, in the course of its actions for, or on behalf of, the Purchasing Party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unlawful bribe, rebate, payoff, influence payment, kickback or other unlawful payment to any foreign or domestic government official 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0" w:name="page241"/>
    <w:bookmarkEnd w:id="240"/>
    <w:p>
      <w:pPr>
        <w:ind w:left="-656" w:right="120" w:firstLine="1304"/>
        <w:spacing w:after="0" w:line="255" w:lineRule="auto"/>
        <w:tabs>
          <w:tab w:leader="none" w:pos="130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Anti-Money Laundering Laws</w:t>
      </w:r>
      <w:r>
        <w:rPr>
          <w:rFonts w:ascii="Times New Roman" w:cs="Times New Roman" w:eastAsia="Times New Roman" w:hAnsi="Times New Roman"/>
          <w:sz w:val="18"/>
          <w:szCs w:val="18"/>
          <w:color w:val="auto"/>
        </w:rPr>
        <w:t>. The operations of the Purchasing Party are and have been conducted at all times in compliance with applicable financial recordkeeping and reporting requirements and all other applicable U.S. and non-U.S. anti-money laundering Laws and regulations, including, but not limited to, those of the Currency and Foreign Transactions Reporting Act of 1970, as amended, the USA PATRIOT Act of 2001 and the applicable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Purchasing Party with respect to the Anti-Money Laundering Laws is pending or, to the knowledge of the Purchasing Party, threatened.</w:t>
      </w:r>
    </w:p>
    <w:p>
      <w:pPr>
        <w:spacing w:after="0" w:line="188" w:lineRule="exact"/>
        <w:rPr>
          <w:rFonts w:ascii="Times New Roman" w:cs="Times New Roman" w:eastAsia="Times New Roman" w:hAnsi="Times New Roman"/>
          <w:sz w:val="18"/>
          <w:szCs w:val="18"/>
          <w:color w:val="auto"/>
        </w:rPr>
      </w:pPr>
    </w:p>
    <w:p>
      <w:pPr>
        <w:ind w:left="-656" w:firstLine="1304"/>
        <w:spacing w:after="0" w:line="254" w:lineRule="auto"/>
        <w:tabs>
          <w:tab w:leader="none" w:pos="130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and Warranties; Non-Reliance</w:t>
      </w:r>
      <w:r>
        <w:rPr>
          <w:rFonts w:ascii="Times New Roman" w:cs="Times New Roman" w:eastAsia="Times New Roman" w:hAnsi="Times New Roman"/>
          <w:sz w:val="18"/>
          <w:szCs w:val="18"/>
          <w:color w:val="auto"/>
        </w:rPr>
        <w:t xml:space="preserve">. Except for the specific representations and warranties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in any certificate or agreement delivered pursuant hereto, none of the Purchasing Party nor any person acting on behalf of the Purchasing Party nor any of the Purchasing Party’s affiliates (“</w:t>
      </w:r>
      <w:r>
        <w:rPr>
          <w:rFonts w:ascii="Times New Roman" w:cs="Times New Roman" w:eastAsia="Times New Roman" w:hAnsi="Times New Roman"/>
          <w:sz w:val="18"/>
          <w:szCs w:val="18"/>
          <w:u w:val="single" w:color="auto"/>
          <w:color w:val="auto"/>
        </w:rPr>
        <w:t>Purchasing Party Group</w:t>
      </w:r>
      <w:r>
        <w:rPr>
          <w:rFonts w:ascii="Times New Roman" w:cs="Times New Roman" w:eastAsia="Times New Roman" w:hAnsi="Times New Roman"/>
          <w:sz w:val="18"/>
          <w:szCs w:val="18"/>
          <w:color w:val="auto"/>
        </w:rPr>
        <w:t xml:space="preserve">”) has made, makes or shall be deemed to make any other express or implied representation or warranty with respect to the Purchasing Party or the purchase and sale of the Forward Purchase Shares, and the Purchasing Party disclaim any such representation or warranty. Except for the specific representations and warranties expressly made by (i) Parent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and in any certificate or agreement delivered pursuant hereto and (ii) the Company in Section 5 of this Agreement, the Purchasing Party Group specifically disclaims that it is relying upon any other representations or warranties that may have been made by Parent, any person on behalf of Parent or any of Parent’s affiliates (collectively,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w:t>
      </w: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tations and Warranties of Parent</w:t>
      </w:r>
      <w:r>
        <w:rPr>
          <w:rFonts w:ascii="Times New Roman" w:cs="Times New Roman" w:eastAsia="Times New Roman" w:hAnsi="Times New Roman"/>
          <w:sz w:val="18"/>
          <w:szCs w:val="18"/>
          <w:color w:val="auto"/>
        </w:rPr>
        <w:t>. Parent represents and warrants to the Purchasing Party as follows:</w:t>
      </w:r>
    </w:p>
    <w:p>
      <w:pPr>
        <w:spacing w:after="0" w:line="229" w:lineRule="exact"/>
        <w:rPr>
          <w:rFonts w:ascii="Times New Roman" w:cs="Times New Roman" w:eastAsia="Times New Roman" w:hAnsi="Times New Roman"/>
          <w:sz w:val="18"/>
          <w:szCs w:val="18"/>
          <w:b w:val="1"/>
          <w:bCs w:val="1"/>
          <w:color w:val="auto"/>
        </w:rPr>
      </w:pPr>
    </w:p>
    <w:p>
      <w:pPr>
        <w:ind w:left="-656" w:right="180" w:firstLine="1304"/>
        <w:spacing w:after="0" w:line="266" w:lineRule="auto"/>
        <w:tabs>
          <w:tab w:leader="none" w:pos="1289"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Corporate Power</w:t>
      </w:r>
      <w:r>
        <w:rPr>
          <w:rFonts w:ascii="Times New Roman" w:cs="Times New Roman" w:eastAsia="Times New Roman" w:hAnsi="Times New Roman"/>
          <w:sz w:val="18"/>
          <w:szCs w:val="18"/>
          <w:color w:val="auto"/>
        </w:rPr>
        <w:t>. Parent is an exempted company duly incorporated, validly existing and in good standing under the Laws of the Cayman Islands and has all requisite corporate power and authority to carry on its business as presently conducted and as proposed to be conducted.</w:t>
      </w:r>
    </w:p>
    <w:p>
      <w:pPr>
        <w:spacing w:after="0" w:line="175" w:lineRule="exact"/>
        <w:rPr>
          <w:rFonts w:ascii="Times New Roman" w:cs="Times New Roman" w:eastAsia="Times New Roman" w:hAnsi="Times New Roman"/>
          <w:sz w:val="18"/>
          <w:szCs w:val="18"/>
          <w:color w:val="auto"/>
        </w:rPr>
      </w:pPr>
    </w:p>
    <w:p>
      <w:pPr>
        <w:ind w:left="-656" w:right="80" w:firstLine="1304"/>
        <w:spacing w:after="0" w:line="261" w:lineRule="auto"/>
        <w:tabs>
          <w:tab w:leader="none" w:pos="130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share capital of Parent consists, as of the date hereof, of 100,000,000 shares of Parent Ordinary Shares and 1,000,000 preference shares, of which 20,450,000 Parent Ordinary Shares and no Parent Preferred Shares are issued and outstanding. All of the issued and outstanding Parent Ordinary Shares and preference shares have been duly authorized, are fully paid and nonassessable and were issued in compliance with all applicable federal and state securities Laws.</w:t>
      </w:r>
    </w:p>
    <w:p>
      <w:pPr>
        <w:spacing w:after="0" w:line="179" w:lineRule="exact"/>
        <w:rPr>
          <w:rFonts w:ascii="Times New Roman" w:cs="Times New Roman" w:eastAsia="Times New Roman" w:hAnsi="Times New Roman"/>
          <w:sz w:val="18"/>
          <w:szCs w:val="18"/>
          <w:color w:val="auto"/>
        </w:rPr>
      </w:pPr>
    </w:p>
    <w:p>
      <w:pPr>
        <w:ind w:left="-656" w:firstLine="1304"/>
        <w:spacing w:after="0" w:line="253" w:lineRule="auto"/>
        <w:tabs>
          <w:tab w:leader="none" w:pos="1289"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All corporate action required to be taken by Parent’s Board of Directors and shareholders in order to authorize Parent to enter into this Agreement, and to issue the Forward Purchase Shares at the Share Purchase Closing has been taken or will be taken prior to the Share Purchase Closing, as applicable. All action on the part of the shareholders, directors and officers of Parent necessary for the execution and delivery of this Agreement, the performance of all obligations of Parent under this Agreement to be performed as of the Share Purchase Closing, and the issuance and delivery of the Forward Purchase Shares has been taken or will be taken prior to the Share Purchase Closing. This Agreement, when executed and delivered by Parent, shall constitute a valid and legally binding obligation of Parent, enforceable against Parent in accordance with its terms except (i)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the Registration Rights Agreement may be limited by applicable federal or state securities Laws.</w:t>
      </w:r>
    </w:p>
    <w:p>
      <w:pPr>
        <w:spacing w:after="0" w:line="194"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of Forward Purchase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6" w:firstLine="1952"/>
        <w:spacing w:after="0" w:line="255" w:lineRule="auto"/>
        <w:tabs>
          <w:tab w:leader="none" w:pos="1769"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Forward Purchase Shares, when issued, sold and delivered in accordance with the terms and for the consideration set forth in this Agreement and registered in the register of members of the Company when issued in accordance with this Agreement, and registered on Parent’s share register, will be validly issued, fully paid and nonassessable and free of all preemptive or similar rights, liens, encumbrances and charges with respect to the issue thereof and restrictions on transfer other than restrictions on transfer specified under this Agreement, applicable state and federal securities Laws and liens or encumbrances created by or imposed by the Purchasing Party, as applicable. Assuming the accuracy of the representations of the Purchasing Party in this Agreement and subject to the filings described in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xml:space="preserve"> below, the Forward Purchase Shares will be issued in compliance with all applicable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431165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241" w:name="page242"/>
    <w:bookmarkEnd w:id="241"/>
    <w:p>
      <w:pPr>
        <w:ind w:left="-1120" w:right="40" w:firstLine="1952"/>
        <w:spacing w:after="0" w:line="261" w:lineRule="auto"/>
        <w:tabs>
          <w:tab w:leader="none" w:pos="1359"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“bad actor” disqualifying event described in Rule 506(d)(1)(i)-(viii) of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is applicable to Parent or, to Parent’s knowledge, any Parent Covered Person (as defined below), except for a Disqualification Event as to which Rule 506(d)(2)(ii—iv) or (d)(3), is applicable. “</w:t>
      </w:r>
      <w:r>
        <w:rPr>
          <w:rFonts w:ascii="Times New Roman" w:cs="Times New Roman" w:eastAsia="Times New Roman" w:hAnsi="Times New Roman"/>
          <w:sz w:val="18"/>
          <w:szCs w:val="18"/>
          <w:u w:val="single" w:color="auto"/>
          <w:color w:val="auto"/>
        </w:rPr>
        <w:t>Parent Covered Person</w:t>
      </w:r>
      <w:r>
        <w:rPr>
          <w:rFonts w:ascii="Times New Roman" w:cs="Times New Roman" w:eastAsia="Times New Roman" w:hAnsi="Times New Roman"/>
          <w:sz w:val="18"/>
          <w:szCs w:val="18"/>
          <w:color w:val="auto"/>
        </w:rPr>
        <w:t>” means, with respect to Parent as an “issuer” for purposes of Rule 506 promulgated under the Securities Act, any Person listed in the first paragraph of Rule 506(d)(1).</w:t>
      </w:r>
    </w:p>
    <w:p>
      <w:pPr>
        <w:spacing w:after="0" w:line="179" w:lineRule="exact"/>
        <w:rPr>
          <w:rFonts w:ascii="Times New Roman" w:cs="Times New Roman" w:eastAsia="Times New Roman" w:hAnsi="Times New Roman"/>
          <w:sz w:val="18"/>
          <w:szCs w:val="18"/>
          <w:color w:val="auto"/>
        </w:rPr>
      </w:pPr>
    </w:p>
    <w:p>
      <w:pPr>
        <w:jc w:val="both"/>
        <w:ind w:left="-1120" w:right="40" w:firstLine="1304"/>
        <w:spacing w:after="0" w:line="261" w:lineRule="auto"/>
        <w:tabs>
          <w:tab w:leader="none" w:pos="82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Consents and Filings</w:t>
      </w:r>
      <w:r>
        <w:rPr>
          <w:rFonts w:ascii="Times New Roman" w:cs="Times New Roman" w:eastAsia="Times New Roman" w:hAnsi="Times New Roman"/>
          <w:sz w:val="18"/>
          <w:szCs w:val="18"/>
          <w:color w:val="auto"/>
        </w:rPr>
        <w:t>. Assuming the accuracy of the representations and warranties made by the Purchasing Party in this Agreement, no consent, approval, order or authorization of, or registration, qualification, designation, declaration or filing with, any federal, state or local governmental authority is required on the part of Parent in connection with the consummation of the transactions contemplated by this Agreement, except for filings pursuant to Regulation D of the Securities Act, applicable state securities Laws and pursuant to the Registration Rights Agreement.</w:t>
      </w:r>
    </w:p>
    <w:p>
      <w:pPr>
        <w:spacing w:after="0" w:line="179" w:lineRule="exact"/>
        <w:rPr>
          <w:rFonts w:ascii="Times New Roman" w:cs="Times New Roman" w:eastAsia="Times New Roman" w:hAnsi="Times New Roman"/>
          <w:sz w:val="18"/>
          <w:szCs w:val="18"/>
          <w:color w:val="auto"/>
        </w:rPr>
      </w:pPr>
    </w:p>
    <w:p>
      <w:pPr>
        <w:ind w:left="-1120" w:firstLine="1304"/>
        <w:spacing w:after="0" w:line="256" w:lineRule="auto"/>
        <w:tabs>
          <w:tab w:leader="none" w:pos="80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execution, delivery and performance of this Agreement and the consummation of the transactions contemplated by this Agreement will not result in any violation or default (i) of any provisions of Parent’s Governing Documents, as they may be amended from time to time, (ii) of any instrument, judgment, order, writ or decree to which Parent is a party or by which it is bound, (iii) under any note, indenture or mortgage to which Parent is a party or by which it is bound, (iv) under any lease, agreement, contract or purchase order to which Parent is a party or by which it is bound or (v) of any provision of federal or state statute, rule or regulation applicable to Parent, in each case (other than clause (i)) which would have a material adverse effect on Parent or its ability to consummate the transactions contemplated by this Agreement.</w:t>
      </w:r>
    </w:p>
    <w:p>
      <w:pPr>
        <w:spacing w:after="0" w:line="187" w:lineRule="exact"/>
        <w:rPr>
          <w:rFonts w:ascii="Times New Roman" w:cs="Times New Roman" w:eastAsia="Times New Roman" w:hAnsi="Times New Roman"/>
          <w:sz w:val="18"/>
          <w:szCs w:val="18"/>
          <w:color w:val="auto"/>
        </w:rPr>
      </w:pPr>
    </w:p>
    <w:p>
      <w:pPr>
        <w:ind w:left="-1120" w:right="180" w:firstLine="1304"/>
        <w:spacing w:after="0" w:line="282" w:lineRule="auto"/>
        <w:tabs>
          <w:tab w:leader="none" w:pos="83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As of the date hereof, Parent has not conducted any operations other than organizational activities and activities in connection with the IPO, its search for a potential business combination and financing in connection therewith.</w:t>
      </w:r>
    </w:p>
    <w:p>
      <w:pPr>
        <w:spacing w:after="0" w:line="161" w:lineRule="exact"/>
        <w:rPr>
          <w:rFonts w:ascii="Times New Roman" w:cs="Times New Roman" w:eastAsia="Times New Roman" w:hAnsi="Times New Roman"/>
          <w:sz w:val="18"/>
          <w:szCs w:val="18"/>
          <w:color w:val="auto"/>
        </w:rPr>
      </w:pPr>
    </w:p>
    <w:p>
      <w:pPr>
        <w:ind w:left="-1120" w:right="120" w:firstLine="1304"/>
        <w:spacing w:after="0" w:line="277" w:lineRule="auto"/>
        <w:tabs>
          <w:tab w:leader="none" w:pos="836"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Foreign Corrupt Practices</w:t>
      </w:r>
      <w:r>
        <w:rPr>
          <w:rFonts w:ascii="Times New Roman" w:cs="Times New Roman" w:eastAsia="Times New Roman" w:hAnsi="Times New Roman"/>
          <w:sz w:val="17"/>
          <w:szCs w:val="17"/>
          <w:color w:val="auto"/>
        </w:rPr>
        <w:t>. Neither Parent, nor any director, officer, agent, employee or other Person acting on behalf of Parent has, in the course of its actions for, or on behalf of, Parent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unlawful bribe, rebate, payoff, influence payment, kickback or other unlawful payment to any foreign or domestic government official or employee.</w:t>
      </w:r>
    </w:p>
    <w:p>
      <w:pPr>
        <w:spacing w:after="0" w:line="167" w:lineRule="exact"/>
        <w:rPr>
          <w:rFonts w:ascii="Times New Roman" w:cs="Times New Roman" w:eastAsia="Times New Roman" w:hAnsi="Times New Roman"/>
          <w:sz w:val="17"/>
          <w:szCs w:val="17"/>
          <w:color w:val="auto"/>
        </w:rPr>
      </w:pPr>
    </w:p>
    <w:p>
      <w:pPr>
        <w:ind w:left="-1120" w:firstLine="1304"/>
        <w:spacing w:after="0" w:line="261" w:lineRule="auto"/>
        <w:tabs>
          <w:tab w:leader="none" w:pos="79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Anti-Money Laundering Laws</w:t>
      </w:r>
      <w:r>
        <w:rPr>
          <w:rFonts w:ascii="Times New Roman" w:cs="Times New Roman" w:eastAsia="Times New Roman" w:hAnsi="Times New Roman"/>
          <w:sz w:val="18"/>
          <w:szCs w:val="18"/>
          <w:color w:val="auto"/>
        </w:rPr>
        <w:t>. The operations of Parent are and have been conducted at all times in compliance with applicable financial recordkeeping and reporting requirements and all other applicable U.S. and non-U.S. anti-money laundering Laws and regulations, including, but not limited to, Anti-Money Laundering Laws, and no action, suit or proceeding by or before any court or governmental agency, authority or body or any arbitrator involving Parent with respect to the Anti-Money Laundering Laws is pending or, to the knowledge of Parent, threatened.</w:t>
      </w:r>
    </w:p>
    <w:p>
      <w:pPr>
        <w:spacing w:after="0" w:line="179" w:lineRule="exact"/>
        <w:rPr>
          <w:rFonts w:ascii="Times New Roman" w:cs="Times New Roman" w:eastAsia="Times New Roman" w:hAnsi="Times New Roman"/>
          <w:sz w:val="18"/>
          <w:szCs w:val="18"/>
          <w:color w:val="auto"/>
        </w:rPr>
      </w:pPr>
    </w:p>
    <w:p>
      <w:pPr>
        <w:ind w:left="-1120" w:right="180" w:firstLine="1304"/>
        <w:spacing w:after="0" w:line="312" w:lineRule="auto"/>
        <w:tabs>
          <w:tab w:leader="none" w:pos="796"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Litigation</w:t>
      </w:r>
      <w:r>
        <w:rPr>
          <w:rFonts w:ascii="Times New Roman" w:cs="Times New Roman" w:eastAsia="Times New Roman" w:hAnsi="Times New Roman"/>
          <w:sz w:val="17"/>
          <w:szCs w:val="17"/>
          <w:color w:val="auto"/>
        </w:rPr>
        <w:t>. There is no Action before or by any Governmental Authority or, to the Knowledge of Parent, threatened against or affecting Parent or any of Parent’s officers or directors, whether of a civil or criminal nature or otherwise, in their capacities as such.</w:t>
      </w:r>
    </w:p>
    <w:p>
      <w:pPr>
        <w:spacing w:after="0" w:line="139" w:lineRule="exact"/>
        <w:rPr>
          <w:rFonts w:ascii="Times New Roman" w:cs="Times New Roman" w:eastAsia="Times New Roman" w:hAnsi="Times New Roman"/>
          <w:sz w:val="17"/>
          <w:szCs w:val="17"/>
          <w:color w:val="auto"/>
        </w:rPr>
      </w:pPr>
    </w:p>
    <w:p>
      <w:pPr>
        <w:jc w:val="both"/>
        <w:ind w:left="-1120" w:right="180" w:firstLine="1304"/>
        <w:spacing w:after="0" w:line="266" w:lineRule="auto"/>
        <w:tabs>
          <w:tab w:leader="none" w:pos="83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Parent, nor any of its officers, directors, employees, agents or shareholders has either directly or indirectly, including, through a broker or finder (i) engaged in any general solicitation, or (ii) published any advertisement in connection with the offer and sale of the Forward Purchase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423545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42" w:name="page243"/>
    <w:bookmarkEnd w:id="242"/>
    <w:p>
      <w:pPr>
        <w:ind w:right="40" w:firstLine="1304"/>
        <w:spacing w:after="0" w:line="256" w:lineRule="auto"/>
        <w:tabs>
          <w:tab w:leader="none" w:pos="1916"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and Warranties; Non-Reliance</w:t>
      </w:r>
      <w:r>
        <w:rPr>
          <w:rFonts w:ascii="Times New Roman" w:cs="Times New Roman" w:eastAsia="Times New Roman" w:hAnsi="Times New Roman"/>
          <w:sz w:val="18"/>
          <w:szCs w:val="18"/>
          <w:color w:val="auto"/>
        </w:rPr>
        <w:t xml:space="preserve">. Except for the specific representations and warranties contained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in any certificate or agreement delivered pursuant hereto, none of Parent Parties has made, makes or shall be deemed to make any other express or implied representation or warranty with respect to Parent, the transactions contemplated by the Merger Agreement or the offer and sale of the Forward Purchase Shares, and the Parent Parties disclaim any such representation or warranty. Except for the specific representations and warranties expressly made by the Purchasing Party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and in any certificate or agreement delivered pursuant hereto, the Parent Parties specifically disclaim that they are relying upon any other representations or warranties that may have been made by the Purchasing Party.</w:t>
      </w:r>
    </w:p>
    <w:p>
      <w:pPr>
        <w:spacing w:after="0" w:line="183"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40" w:firstLine="1304"/>
        <w:spacing w:after="0" w:line="255" w:lineRule="auto"/>
        <w:tabs>
          <w:tab w:leader="none" w:pos="1945"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The Company (i) represents and warrants to the Purchasing Party that, the representations and warranties of the Company in the Merger Agreement are true and correct as of the date hereof and will be true and correct as of the Closing Date (other than any such representation or warranty that is made by its terms as of a specified date, which shall be true and correct as of such specified date), in each case, other than as would not individually or in the aggregate reasonably be expected to have a Material Adverse Effect in respect of the Company and its Subsidiaries and</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the Purchasing Party is relying on the accuracy of such representations and warranties as set forth in the preceding clause</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292"/>
        </w:numPr>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firstLine="1304"/>
        <w:spacing w:after="0" w:line="255" w:lineRule="auto"/>
        <w:tabs>
          <w:tab w:leader="none" w:pos="1956"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and Warranties; Non-Reliance</w:t>
      </w:r>
      <w:r>
        <w:rPr>
          <w:rFonts w:ascii="Times New Roman" w:cs="Times New Roman" w:eastAsia="Times New Roman" w:hAnsi="Times New Roman"/>
          <w:sz w:val="18"/>
          <w:szCs w:val="18"/>
          <w:color w:val="auto"/>
        </w:rPr>
        <w:t>. Except for the specific representations and warranties contained in this Section 5 and in any certificate or agreement delivered pursuant hereto, neither the Company nor any person acting on behalf of the Company nor any of the Company’s affiliates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has made, makes or shall be deemed to make any other express or implied representation or warranty with respect to the Company, the transactions contemplated by the Merger Agreement or the offer and sale of the Forward Purchase Shares, and the Company Group disclaims any such representation or warranty. Except for the specific representations and warranties expressly made by the Purchasing Party in Section 3 of this Agreement and in any certificate or agreement delivered pursuant hereto, the Company specifically disclaims that it is relying upon any other representations or warranties that may have been made by the Purchasing Party</w:t>
      </w:r>
    </w:p>
    <w:p>
      <w:pPr>
        <w:spacing w:after="0" w:line="184"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Agreements, Acknowledgements and Waivers of the Purchasing Party.</w:t>
      </w:r>
    </w:p>
    <w:p>
      <w:pPr>
        <w:spacing w:after="0" w:line="229" w:lineRule="exact"/>
        <w:rPr>
          <w:rFonts w:ascii="Times New Roman" w:cs="Times New Roman" w:eastAsia="Times New Roman" w:hAnsi="Times New Roman"/>
          <w:sz w:val="18"/>
          <w:szCs w:val="18"/>
          <w:b w:val="1"/>
          <w:bCs w:val="1"/>
          <w:color w:val="auto"/>
        </w:rPr>
      </w:pPr>
    </w:p>
    <w:p>
      <w:pPr>
        <w:ind w:right="40" w:firstLine="1304"/>
        <w:spacing w:after="0" w:line="255" w:lineRule="auto"/>
        <w:tabs>
          <w:tab w:leader="none" w:pos="1945"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Reference is made to the final prospectus of Parent, dated August 3, 2020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Purchasing Party has read the Prospectus and understands that Parent has established the Trust Account for the benefit of the public Parent Shareholders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the Company and the Purchasing Party for itself and on behalf of its securityholders, hereby agrees that it does not now and shall not at any time hereafter have any right, title, interest or claim of any kind in or to any monies in the Trust Account as a result of, or arising out of, any negotiations, contracts or agreements with Parent and hereby agrees that it will not seek recourse against the Trust Account for any reason.</w:t>
      </w:r>
    </w:p>
    <w:p>
      <w:pPr>
        <w:spacing w:after="0" w:line="188" w:lineRule="exact"/>
        <w:rPr>
          <w:rFonts w:ascii="Times New Roman" w:cs="Times New Roman" w:eastAsia="Times New Roman" w:hAnsi="Times New Roman"/>
          <w:sz w:val="18"/>
          <w:szCs w:val="18"/>
          <w:color w:val="auto"/>
        </w:rPr>
      </w:pPr>
    </w:p>
    <w:p>
      <w:pPr>
        <w:ind w:right="80" w:firstLine="1304"/>
        <w:spacing w:after="0" w:line="256" w:lineRule="auto"/>
        <w:tabs>
          <w:tab w:leader="none" w:pos="1956"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xml:space="preserve">. The Purchasing Party hereby agrees that neither it, nor any person or entity acting on its behalf or pursuant to any understanding with it, will engage in any Short Sales with respect to securities of Parent prior to the Merger Closing.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w:t>
      </w:r>
    </w:p>
    <w:p>
      <w:pPr>
        <w:spacing w:after="0" w:line="187" w:lineRule="exact"/>
        <w:rPr>
          <w:rFonts w:ascii="Times New Roman" w:cs="Times New Roman" w:eastAsia="Times New Roman" w:hAnsi="Times New Roman"/>
          <w:sz w:val="18"/>
          <w:szCs w:val="18"/>
          <w:color w:val="auto"/>
        </w:rPr>
      </w:pPr>
    </w:p>
    <w:p>
      <w:pPr>
        <w:ind w:right="140" w:firstLine="1304"/>
        <w:spacing w:after="0" w:line="253" w:lineRule="auto"/>
        <w:tabs>
          <w:tab w:leader="none" w:pos="1945"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Redemption</w:t>
      </w:r>
      <w:r>
        <w:rPr>
          <w:rFonts w:ascii="Times New Roman" w:cs="Times New Roman" w:eastAsia="Times New Roman" w:hAnsi="Times New Roman"/>
          <w:sz w:val="18"/>
          <w:szCs w:val="18"/>
          <w:color w:val="auto"/>
        </w:rPr>
        <w:t xml:space="preserve">. Until the Merger Closing, the Purchasing Party hereby irrevocably and unconditionally agrees not to redeem, elect to redeem or tender or submit any Subject Securities in connection with (i) the Merger or any other transactions contemplated by the Merger Agreement or (ii) any proposal to amend Parent’s organizational documents to extend the period of time that Parent is afforded thereunder and its prospectus to consummate an initial business combination, including any vote at any meeting of the shareholders of Parent (whether annual or special and whether or not an adjourned or postponed meeting however called and including any adjournment or postponement thereof) or any action by written resolution of the shareholders of Parent with respect to the foregoing, and any attempt to redeem such Subject Securities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 For purposes of this Agreement, “</w:t>
      </w:r>
      <w:r>
        <w:rPr>
          <w:rFonts w:ascii="Times New Roman" w:cs="Times New Roman" w:eastAsia="Times New Roman" w:hAnsi="Times New Roman"/>
          <w:sz w:val="18"/>
          <w:szCs w:val="18"/>
          <w:u w:val="single" w:color="auto"/>
          <w:color w:val="auto"/>
        </w:rPr>
        <w:t>Subject Securities</w:t>
      </w:r>
      <w:r>
        <w:rPr>
          <w:rFonts w:ascii="Times New Roman" w:cs="Times New Roman" w:eastAsia="Times New Roman" w:hAnsi="Times New Roman"/>
          <w:sz w:val="18"/>
          <w:szCs w:val="18"/>
          <w:color w:val="auto"/>
        </w:rPr>
        <w:t>” means all of Purchasing Party’s Parent Ordinary Shares and any other equity securities of Parent that the Purchasing Party holds of record or beneficially as of the date of this Agreement or acquires record or beneficial ownership after the date hereof, including any (i) Market Transaction Shares and (ii) Parent Warrants or other securities convertible into or exercisable or exchangeable for Parent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3" w:name="page244"/>
    <w:bookmarkEnd w:id="243"/>
    <w:p>
      <w:pPr>
        <w:ind w:left="624" w:hanging="624"/>
        <w:spacing w:after="0"/>
        <w:tabs>
          <w:tab w:leader="none" w:pos="624" w:val="left"/>
        </w:tabs>
        <w:numPr>
          <w:ilvl w:val="0"/>
          <w:numId w:val="2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Purchase Closing Conditions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656" w:right="260" w:firstLine="1304"/>
        <w:spacing w:after="0" w:line="266" w:lineRule="auto"/>
        <w:tabs>
          <w:tab w:leader="none" w:pos="128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each of the Purchasing Party to consummate the Share Purchase Closing is subject to the fulfillment, at or prior to the Share Purchase Closing of each of the following conditions, any of which, to the extent permitted by applicable Laws, may be waived by the Purchasing Party , as applicable:</w:t>
      </w:r>
    </w:p>
    <w:p>
      <w:pPr>
        <w:spacing w:after="0" w:line="175" w:lineRule="exact"/>
        <w:rPr>
          <w:rFonts w:ascii="Times New Roman" w:cs="Times New Roman" w:eastAsia="Times New Roman" w:hAnsi="Times New Roman"/>
          <w:sz w:val="18"/>
          <w:szCs w:val="18"/>
          <w:color w:val="auto"/>
        </w:rPr>
      </w:pPr>
    </w:p>
    <w:p>
      <w:pPr>
        <w:ind w:left="-656" w:right="60" w:firstLine="1952"/>
        <w:spacing w:after="0" w:line="256" w:lineRule="auto"/>
        <w:tabs>
          <w:tab w:leader="none" w:pos="1769"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set forth in Article X of the Merger Agreement (other than those conditions that by their nature are to be satisfied by (i) actions taken at the Merger Closing; provided that each such condition is then capable of being satisfied at the Merger Closing on such date and (ii) the consummation of the transactions contemplated by this Agreement) have been satisfied or waived (provided that, for purposes of this Agreement, the conditions set forth in Sections 10.3(h) and 10.3(j) in the Merger Agreement may not be waived without the written consent of the Purchasing Party), and the Company and Parent have confirmed to the Purchasing Party in writing that the Company and Parent are ready, willing and able to consummate the Transactions;</w:t>
      </w:r>
    </w:p>
    <w:p>
      <w:pPr>
        <w:spacing w:after="0" w:line="187" w:lineRule="exact"/>
        <w:rPr>
          <w:rFonts w:ascii="Times New Roman" w:cs="Times New Roman" w:eastAsia="Times New Roman" w:hAnsi="Times New Roman"/>
          <w:sz w:val="18"/>
          <w:szCs w:val="18"/>
          <w:color w:val="auto"/>
        </w:rPr>
      </w:pPr>
    </w:p>
    <w:p>
      <w:pPr>
        <w:jc w:val="both"/>
        <w:ind w:left="-656" w:right="100" w:firstLine="1952"/>
        <w:spacing w:after="0" w:line="258" w:lineRule="auto"/>
        <w:tabs>
          <w:tab w:leader="none" w:pos="1819"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Parent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have been true and correct as of the date hereof and shall be true and correct as of the Share Purchase Closing,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Parent’s ability to consummate the transactions contemplated by this Agreement;</w:t>
      </w:r>
    </w:p>
    <w:p>
      <w:pPr>
        <w:spacing w:after="0" w:line="183" w:lineRule="exact"/>
        <w:rPr>
          <w:rFonts w:ascii="Times New Roman" w:cs="Times New Roman" w:eastAsia="Times New Roman" w:hAnsi="Times New Roman"/>
          <w:sz w:val="18"/>
          <w:szCs w:val="18"/>
          <w:color w:val="auto"/>
        </w:rPr>
      </w:pPr>
    </w:p>
    <w:p>
      <w:pPr>
        <w:ind w:left="-656" w:right="700" w:firstLine="1952"/>
        <w:spacing w:after="0" w:line="282" w:lineRule="auto"/>
        <w:tabs>
          <w:tab w:leader="none" w:pos="1873"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performed, satisfied and complied in all material respects with the covenants, agreements and conditions required by this Agreement to be performed, satisfied or complied with by Parent, at or prior to the Share Purchase Closing; and</w:t>
      </w:r>
    </w:p>
    <w:p>
      <w:pPr>
        <w:spacing w:after="0" w:line="161" w:lineRule="exact"/>
        <w:rPr>
          <w:rFonts w:ascii="Times New Roman" w:cs="Times New Roman" w:eastAsia="Times New Roman" w:hAnsi="Times New Roman"/>
          <w:sz w:val="18"/>
          <w:szCs w:val="18"/>
          <w:color w:val="auto"/>
        </w:rPr>
      </w:pPr>
    </w:p>
    <w:p>
      <w:pPr>
        <w:ind w:left="-656" w:right="180" w:firstLine="1952"/>
        <w:spacing w:after="0" w:line="266" w:lineRule="auto"/>
        <w:tabs>
          <w:tab w:leader="none" w:pos="1863"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the Purchasing Party of the Forward Purchase Shares.</w:t>
      </w:r>
    </w:p>
    <w:p>
      <w:pPr>
        <w:spacing w:after="0" w:line="175" w:lineRule="exact"/>
        <w:rPr>
          <w:rFonts w:ascii="Times New Roman" w:cs="Times New Roman" w:eastAsia="Times New Roman" w:hAnsi="Times New Roman"/>
          <w:sz w:val="18"/>
          <w:szCs w:val="18"/>
          <w:color w:val="auto"/>
        </w:rPr>
      </w:pPr>
    </w:p>
    <w:p>
      <w:pPr>
        <w:ind w:left="-656" w:right="40" w:firstLine="1952"/>
        <w:spacing w:after="0" w:line="282" w:lineRule="auto"/>
        <w:tabs>
          <w:tab w:leader="none" w:pos="1813"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shall not have occurred any Material Adverse Effect pursuant to clause (a) of the definition thereof in the Merger Agreement in respect of the Company Group that is continuing.</w:t>
      </w:r>
    </w:p>
    <w:p>
      <w:pPr>
        <w:spacing w:after="0" w:line="161" w:lineRule="exact"/>
        <w:rPr>
          <w:rFonts w:ascii="Times New Roman" w:cs="Times New Roman" w:eastAsia="Times New Roman" w:hAnsi="Times New Roman"/>
          <w:sz w:val="18"/>
          <w:szCs w:val="18"/>
          <w:color w:val="auto"/>
        </w:rPr>
      </w:pPr>
    </w:p>
    <w:p>
      <w:pPr>
        <w:ind w:left="-656" w:right="120" w:firstLine="1304"/>
        <w:spacing w:after="0" w:line="282" w:lineRule="auto"/>
        <w:tabs>
          <w:tab w:leader="none" w:pos="116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Parent to consummate the Share Purchase Closing is subject to the fulfillment, at or prior to the Share Purchase Closing of each of the following conditions, any of which, to the extent permitted by applicable Laws, may be waived by Parent :</w:t>
      </w:r>
    </w:p>
    <w:p>
      <w:pPr>
        <w:spacing w:after="0" w:line="161" w:lineRule="exact"/>
        <w:rPr>
          <w:rFonts w:ascii="Times New Roman" w:cs="Times New Roman" w:eastAsia="Times New Roman" w:hAnsi="Times New Roman"/>
          <w:sz w:val="18"/>
          <w:szCs w:val="18"/>
          <w:color w:val="auto"/>
        </w:rPr>
      </w:pPr>
    </w:p>
    <w:p>
      <w:pPr>
        <w:ind w:left="-656" w:right="80" w:firstLine="1952"/>
        <w:spacing w:after="0" w:line="261" w:lineRule="auto"/>
        <w:tabs>
          <w:tab w:leader="none" w:pos="1769"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set forth in Article X of the Merger Agreement (other than those conditions that by their nature are to be satisfied by actions taken at the Merger Closing; provided that each such condition is then capable of being satisfied at the Merger Closing on such date) to Parent’s obligations to consummate the Merger Closing have been satisfied or waived, and the Company has confirmed to Parent in writing that the Company is ready, willing and able to consummate the Transactions;</w:t>
      </w:r>
    </w:p>
    <w:p>
      <w:pPr>
        <w:spacing w:after="0" w:line="179" w:lineRule="exact"/>
        <w:rPr>
          <w:rFonts w:ascii="Times New Roman" w:cs="Times New Roman" w:eastAsia="Times New Roman" w:hAnsi="Times New Roman"/>
          <w:sz w:val="18"/>
          <w:szCs w:val="18"/>
          <w:color w:val="auto"/>
        </w:rPr>
      </w:pPr>
    </w:p>
    <w:p>
      <w:pPr>
        <w:ind w:left="-656" w:firstLine="1952"/>
        <w:spacing w:after="0" w:line="258" w:lineRule="auto"/>
        <w:tabs>
          <w:tab w:leader="none" w:pos="1819"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Purchasing Party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have been true and correct as of the date hereof and shall be true and correct as of the Share Purchase Closing,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the Purchasing Party or its ability to consummate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427990</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244" w:name="page245"/>
    <w:bookmarkEnd w:id="244"/>
    <w:p>
      <w:pPr>
        <w:ind w:firstLine="1952"/>
        <w:spacing w:after="0" w:line="266" w:lineRule="auto"/>
        <w:tabs>
          <w:tab w:leader="none" w:pos="2525"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Purchasing Party shall have performed, satisfied and complied in all material respects with the covenants, agreements and conditions required by this Agreement to be performed, satisfied or complied with by the Purchasing Party at or prior to the Share Purchase Closing; and</w:t>
      </w:r>
    </w:p>
    <w:p>
      <w:pPr>
        <w:spacing w:after="0" w:line="175" w:lineRule="exact"/>
        <w:rPr>
          <w:rFonts w:ascii="Times New Roman" w:cs="Times New Roman" w:eastAsia="Times New Roman" w:hAnsi="Times New Roman"/>
          <w:sz w:val="18"/>
          <w:szCs w:val="18"/>
          <w:color w:val="auto"/>
        </w:rPr>
      </w:pPr>
    </w:p>
    <w:p>
      <w:pPr>
        <w:ind w:right="160" w:firstLine="1952"/>
        <w:spacing w:after="0" w:line="266" w:lineRule="auto"/>
        <w:tabs>
          <w:tab w:leader="none" w:pos="2519"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the Purchasing Party of the Forward Purchase Shares.</w:t>
      </w:r>
    </w:p>
    <w:p>
      <w:pPr>
        <w:spacing w:after="0" w:line="175" w:lineRule="exact"/>
        <w:rPr>
          <w:rFonts w:ascii="Times New Roman" w:cs="Times New Roman" w:eastAsia="Times New Roman" w:hAnsi="Times New Roman"/>
          <w:sz w:val="18"/>
          <w:szCs w:val="18"/>
          <w:color w:val="auto"/>
        </w:rPr>
      </w:pPr>
    </w:p>
    <w:p>
      <w:pPr>
        <w:ind w:firstLine="1952"/>
        <w:spacing w:after="0" w:line="266" w:lineRule="auto"/>
        <w:tabs>
          <w:tab w:leader="none" w:pos="2469"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evidence reasonably satisfactory of (i) the Purchasing Party’s ownership of the Market Transaction Shares and purchase thereof following the date hereof and (ii) the aggregate dollar amount paid by the Purchasing Party to purchase the Market Transaction Shares.</w:t>
      </w:r>
    </w:p>
    <w:p>
      <w:pPr>
        <w:spacing w:after="0" w:line="17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2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This Agreement may be terminated at any time prior to the Share Purchase Closing:</w:t>
      </w:r>
    </w:p>
    <w:p>
      <w:pPr>
        <w:spacing w:after="0" w:line="229" w:lineRule="exact"/>
        <w:rPr>
          <w:rFonts w:ascii="Times New Roman" w:cs="Times New Roman" w:eastAsia="Times New Roman" w:hAnsi="Times New Roman"/>
          <w:sz w:val="18"/>
          <w:szCs w:val="18"/>
          <w:b w:val="1"/>
          <w:bCs w:val="1"/>
          <w:color w:val="auto"/>
        </w:rPr>
      </w:pPr>
    </w:p>
    <w:p>
      <w:pPr>
        <w:ind w:left="1820" w:hanging="516"/>
        <w:spacing w:after="0"/>
        <w:tabs>
          <w:tab w:leader="none" w:pos="182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parties hereto; or</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the termination of the Merger Agreement in accordance with its terms.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the event of any termination of this Agreement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this Agreement shall forthwith become null and void and have no effect, without any liability on the part of any party hereto and their respective directors, officers, employees, partners, managers, members, or shareholders and all rights and obligations of each party shall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relieve either Parent or the Purchasing Party from liabilities or damages arising out of any fraud or willful breach by such party of any of its representations, warranties, covenants or agreements contained in this Agreement.</w:t>
      </w:r>
    </w:p>
    <w:p>
      <w:pPr>
        <w:spacing w:after="0" w:line="179" w:lineRule="exact"/>
        <w:rPr>
          <w:sz w:val="20"/>
          <w:szCs w:val="20"/>
          <w:color w:val="auto"/>
        </w:rPr>
      </w:pPr>
    </w:p>
    <w:p>
      <w:pPr>
        <w:ind w:left="1240" w:hanging="584"/>
        <w:spacing w:after="0"/>
        <w:tabs>
          <w:tab w:leader="none" w:pos="1240" w:val="left"/>
        </w:tabs>
        <w:numPr>
          <w:ilvl w:val="0"/>
          <w:numId w:val="2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100" w:firstLine="1304"/>
        <w:spacing w:after="0" w:line="282" w:lineRule="auto"/>
        <w:tabs>
          <w:tab w:leader="none" w:pos="181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Representations</w:t>
      </w:r>
      <w:r>
        <w:rPr>
          <w:rFonts w:ascii="Times New Roman" w:cs="Times New Roman" w:eastAsia="Times New Roman" w:hAnsi="Times New Roman"/>
          <w:sz w:val="18"/>
          <w:szCs w:val="18"/>
          <w:color w:val="auto"/>
        </w:rPr>
        <w:t>. Subject to the limitations and other provisions of this Agreement, the representations and warranties contained herein shall survive the Share Purchase Closing and shall remain in full force and effect until the first anniversary of the Closing Date.</w:t>
      </w:r>
    </w:p>
    <w:p>
      <w:pPr>
        <w:spacing w:after="0" w:line="161" w:lineRule="exact"/>
        <w:rPr>
          <w:rFonts w:ascii="Times New Roman" w:cs="Times New Roman" w:eastAsia="Times New Roman" w:hAnsi="Times New Roman"/>
          <w:sz w:val="18"/>
          <w:szCs w:val="18"/>
          <w:color w:val="auto"/>
        </w:rPr>
      </w:pPr>
    </w:p>
    <w:p>
      <w:pPr>
        <w:ind w:right="200" w:firstLine="1304"/>
        <w:spacing w:after="0" w:line="256" w:lineRule="auto"/>
        <w:tabs>
          <w:tab w:leader="none" w:pos="1821"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(i) if by hand, electronic mail or nationally recognized overnight courier service, by 5:00 PM Pacific Time on a Business Day, addressee’s day and time, on the date of delivery, and if delivered after 5:00 PM Eastern Time, on the first Business Day after such delivery; (ii) if by email, on the date of transmission with affirmative confirmation of receipt; or (iii)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Parent,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Health Sciences Acquisitions Corporation 2</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RTW Investments, 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al@hsac2.com, gd@hsac2.com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5" w:name="page246"/>
    <w:bookmarkEnd w:id="245"/>
    <w:p>
      <w:pPr>
        <w:ind w:left="1300"/>
        <w:spacing w:after="0"/>
        <w:rPr>
          <w:sz w:val="20"/>
          <w:szCs w:val="20"/>
          <w:color w:val="auto"/>
        </w:rPr>
      </w:pPr>
      <w:r>
        <w:rPr>
          <w:rFonts w:ascii="Times New Roman" w:cs="Times New Roman" w:eastAsia="Times New Roman" w:hAnsi="Times New Roman"/>
          <w:sz w:val="18"/>
          <w:szCs w:val="18"/>
          <w:i w:val="1"/>
          <w:iCs w:val="1"/>
          <w:color w:val="auto"/>
        </w:rPr>
        <w:t>with a copy to Parent’s counsel (which shall not constitute notice) to</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345 Park Ave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Giovanni Caruso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gcaruso@loeb.com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communications sent to the Company shall be sent to: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Orchestra BioMed,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150 Union Square Drive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Hope PA 18938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David Hochman, Chairman &amp; CEO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DHochman@orchestrabiomed.com</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with a copy to the Company’s counsel (which shall not constitute notice) to:</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Samuel A. Waxman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samuelwaxman@paulhastings.com</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All communications to the Purchasing Party shall be sent to the Purchasing Party’s address as set forth on the signature page hereof, or to such e-mail address, facsimile number (if any) or address as subsequently modified by written notice given in accordance with this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960" w:hanging="656"/>
        <w:spacing w:after="0"/>
        <w:tabs>
          <w:tab w:leader="none" w:pos="19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No Waivers; Remedies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1952"/>
        <w:spacing w:after="0" w:line="266" w:lineRule="auto"/>
        <w:tabs>
          <w:tab w:leader="none" w:pos="2425"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75" w:lineRule="exact"/>
        <w:rPr>
          <w:rFonts w:ascii="Times New Roman" w:cs="Times New Roman" w:eastAsia="Times New Roman" w:hAnsi="Times New Roman"/>
          <w:sz w:val="18"/>
          <w:szCs w:val="18"/>
          <w:color w:val="auto"/>
        </w:rPr>
      </w:pPr>
    </w:p>
    <w:p>
      <w:pPr>
        <w:ind w:firstLine="1952"/>
        <w:spacing w:after="0" w:line="256" w:lineRule="auto"/>
        <w:tabs>
          <w:tab w:leader="none" w:pos="2479"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87" w:lineRule="exact"/>
        <w:rPr>
          <w:rFonts w:ascii="Times New Roman" w:cs="Times New Roman" w:eastAsia="Times New Roman" w:hAnsi="Times New Roman"/>
          <w:sz w:val="18"/>
          <w:szCs w:val="18"/>
          <w:color w:val="auto"/>
        </w:rPr>
      </w:pPr>
    </w:p>
    <w:p>
      <w:pPr>
        <w:ind w:right="200" w:firstLine="1952"/>
        <w:spacing w:after="0" w:line="282" w:lineRule="auto"/>
        <w:tabs>
          <w:tab w:leader="none" w:pos="2529"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no statement herein of any right or remedy shall impair any other right or remedy stated herein or that otherwise may be available.</w:t>
      </w:r>
    </w:p>
    <w:p>
      <w:pPr>
        <w:spacing w:after="0" w:line="161" w:lineRule="exact"/>
        <w:rPr>
          <w:rFonts w:ascii="Times New Roman" w:cs="Times New Roman" w:eastAsia="Times New Roman" w:hAnsi="Times New Roman"/>
          <w:sz w:val="18"/>
          <w:szCs w:val="18"/>
          <w:color w:val="auto"/>
        </w:rPr>
      </w:pPr>
    </w:p>
    <w:p>
      <w:pPr>
        <w:ind w:right="280" w:firstLine="1304"/>
        <w:spacing w:after="0" w:line="266" w:lineRule="auto"/>
        <w:tabs>
          <w:tab w:leader="none" w:pos="195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or Delegation</w:t>
      </w:r>
      <w:r>
        <w:rPr>
          <w:rFonts w:ascii="Times New Roman" w:cs="Times New Roman" w:eastAsia="Times New Roman" w:hAnsi="Times New Roman"/>
          <w:sz w:val="18"/>
          <w:szCs w:val="18"/>
          <w:color w:val="auto"/>
        </w:rPr>
        <w:t>. No party may assign any right or delegate any obligation hereunder, including by merger, consolidation, operation of law or otherwise, without the written consent of the other parties to this Agreement. Any purported assignment or delegation without such consent shall be void, in addition to constituting a material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46" w:name="page247"/>
    <w:bookmarkEnd w:id="246"/>
    <w:p>
      <w:pPr>
        <w:ind w:left="-1120" w:right="20" w:firstLine="1304"/>
        <w:spacing w:after="0" w:line="261" w:lineRule="auto"/>
        <w:tabs>
          <w:tab w:leader="none" w:pos="82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disputes or controversies arising out of or relating to this Agreement or the transactions contemplated hereby, including the applicable statute of limitations, shall be governed by and construed in accordance with the Laws of the State of New York, without giving effect to any choice of law or conflict of law provision or rule (whether of the State of New York or any other jurisdiction) that would cause the application of the Law of any jurisdiction other than the State of New York.</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80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signature pages that together (but need not individually) bear the signatures of all other parties.</w:t>
      </w:r>
    </w:p>
    <w:p>
      <w:pPr>
        <w:spacing w:after="0" w:line="179" w:lineRule="exact"/>
        <w:rPr>
          <w:rFonts w:ascii="Times New Roman" w:cs="Times New Roman" w:eastAsia="Times New Roman" w:hAnsi="Times New Roman"/>
          <w:sz w:val="18"/>
          <w:szCs w:val="18"/>
          <w:color w:val="auto"/>
        </w:rPr>
      </w:pPr>
    </w:p>
    <w:p>
      <w:pPr>
        <w:ind w:left="-1120" w:firstLine="1304"/>
        <w:spacing w:after="0" w:line="258" w:lineRule="auto"/>
        <w:tabs>
          <w:tab w:leader="none" w:pos="83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agreements referenced herein, sets forth the entire agreement of the parties with respect to the subject matter hereof and thereof and supersedes all prior and contemporaneous understandings and agreements related thereto (whether written or oral), all of which are merged herein. No provision of this Agreement may be explained or qualified by any agreement, negotiations, understanding, discussion, conduct or course of conduct or by any trade usage. Except as otherwise expressly stated herein, there is no condition precedent to the effectiveness of any provision hereof or thereof.</w:t>
      </w:r>
    </w:p>
    <w:p>
      <w:pPr>
        <w:spacing w:after="0" w:line="183" w:lineRule="exact"/>
        <w:rPr>
          <w:rFonts w:ascii="Times New Roman" w:cs="Times New Roman" w:eastAsia="Times New Roman" w:hAnsi="Times New Roman"/>
          <w:sz w:val="18"/>
          <w:szCs w:val="18"/>
          <w:color w:val="auto"/>
        </w:rPr>
      </w:pPr>
    </w:p>
    <w:p>
      <w:pPr>
        <w:ind w:left="-1120" w:firstLine="1304"/>
        <w:spacing w:after="0" w:line="261" w:lineRule="auto"/>
        <w:tabs>
          <w:tab w:leader="none" w:pos="83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79" w:lineRule="exact"/>
        <w:rPr>
          <w:rFonts w:ascii="Times New Roman" w:cs="Times New Roman" w:eastAsia="Times New Roman" w:hAnsi="Times New Roman"/>
          <w:sz w:val="18"/>
          <w:szCs w:val="18"/>
          <w:color w:val="auto"/>
        </w:rPr>
      </w:pPr>
    </w:p>
    <w:p>
      <w:pPr>
        <w:ind w:left="-1120" w:right="40" w:firstLine="1304"/>
        <w:spacing w:after="0" w:line="253" w:lineRule="auto"/>
        <w:tabs>
          <w:tab w:leader="none" w:pos="79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Any reference to any federal, state, local or foreign Law will be deemed also to refer to Law as amended and all rules and regulations promulgated thereunder, unless the context requires otherwise. The words “</w:t>
      </w:r>
      <w:r>
        <w:rPr>
          <w:rFonts w:ascii="Times New Roman" w:cs="Times New Roman" w:eastAsia="Times New Roman" w:hAnsi="Times New Roman"/>
          <w:sz w:val="18"/>
          <w:szCs w:val="18"/>
          <w:i w:val="1"/>
          <w:i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will be deemed to be followed by “</w:t>
      </w:r>
      <w:r>
        <w:rPr>
          <w:rFonts w:ascii="Times New Roman" w:cs="Times New Roman" w:eastAsia="Times New Roman" w:hAnsi="Times New Roman"/>
          <w:sz w:val="18"/>
          <w:szCs w:val="18"/>
          <w:i w:val="1"/>
          <w:iCs w:val="1"/>
          <w:color w:val="auto"/>
        </w:rPr>
        <w:t>without limitation</w:t>
      </w:r>
      <w:r>
        <w:rPr>
          <w:rFonts w:ascii="Times New Roman" w:cs="Times New Roman" w:eastAsia="Times New Roman" w:hAnsi="Times New Roman"/>
          <w:sz w:val="18"/>
          <w:szCs w:val="18"/>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Times New Roman" w:cs="Times New Roman" w:eastAsia="Times New Roman" w:hAnsi="Times New Roman"/>
          <w:sz w:val="18"/>
          <w:szCs w:val="18"/>
          <w:i w:val="1"/>
          <w:iCs w:val="1"/>
          <w:color w:val="auto"/>
        </w:rPr>
        <w:t>this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hereby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hereunder</w:t>
      </w:r>
      <w:r>
        <w:rPr>
          <w:rFonts w:ascii="Times New Roman" w:cs="Times New Roman" w:eastAsia="Times New Roman" w:hAnsi="Times New Roman"/>
          <w:sz w:val="18"/>
          <w:szCs w:val="18"/>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431800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37" w:right="359" w:bottom="1440" w:gutter="0" w:footer="0" w:header="0"/>
        </w:sectPr>
      </w:pPr>
    </w:p>
    <w:bookmarkStart w:id="247" w:name="page248"/>
    <w:bookmarkEnd w:id="247"/>
    <w:p>
      <w:pPr>
        <w:ind w:left="-80" w:firstLine="1304"/>
        <w:spacing w:after="0" w:line="253" w:lineRule="auto"/>
        <w:tabs>
          <w:tab w:leader="none" w:pos="183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a party hereto,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455930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337" w:right="3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executed this Agreement to be effective as of the date first set forth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PURCHASING PARTY:</w:t>
      </w:r>
    </w:p>
    <w:p>
      <w:pPr>
        <w:spacing w:after="0" w:line="2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Covidien Group S.à.r.l.</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Erik De Gres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26035</wp:posOffset>
            </wp:positionV>
            <wp:extent cx="320611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 Erik De Gres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  General Manager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c/o Medtronic, Inc.</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Operational Headquarters</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710 Medtronic Parkway</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Minneapolis, MN 55432-5604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549" w:right="1440" w:bottom="1440" w:gutter="0" w:footer="0" w:header="0"/>
        </w:sectPr>
      </w:pPr>
    </w:p>
    <w:bookmarkStart w:id="249" w:name="page250"/>
    <w:bookmarkEnd w:id="249"/>
    <w:p>
      <w:pPr>
        <w:ind w:left="452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Health Sciences Acquisitions Corporation 2</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7"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50" w:name="page251"/>
    <w:bookmarkEnd w:id="250"/>
    <w:p>
      <w:pPr>
        <w:ind w:left="45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Orchestra BioMed, Inc.</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David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David Hochman</w:t>
      </w:r>
    </w:p>
    <w:p>
      <w:pPr>
        <w:spacing w:after="0" w:line="27" w:lineRule="exact"/>
        <w:rPr>
          <w:sz w:val="20"/>
          <w:szCs w:val="20"/>
          <w:color w:val="auto"/>
        </w:rPr>
      </w:pPr>
    </w:p>
    <w:p>
      <w:pPr>
        <w:jc w:val="right"/>
        <w:ind w:right="1879"/>
        <w:spacing w:after="0"/>
        <w:tabs>
          <w:tab w:leader="none" w:pos="17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FORWARD PURCHASE AGREEMENT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Forward Purchase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July 4, 2022, by and among Health Sciences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Acquisitions Corporation 2, a Cayman Islands exempted company (which shall deregister in the Cayman Islands and domesticate</w:t>
      </w:r>
    </w:p>
    <w:p>
      <w:pPr>
        <w:spacing w:after="0" w:line="231" w:lineRule="auto"/>
        <w:rPr>
          <w:sz w:val="20"/>
          <w:szCs w:val="20"/>
          <w:color w:val="auto"/>
        </w:rPr>
      </w:pPr>
      <w:r>
        <w:rPr>
          <w:rFonts w:ascii="Times New Roman" w:cs="Times New Roman" w:eastAsia="Times New Roman" w:hAnsi="Times New Roman"/>
          <w:sz w:val="22"/>
          <w:szCs w:val="22"/>
          <w:color w:val="auto"/>
        </w:rPr>
        <w:t>as a Delaware corporation prior to the Merger Closing,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Orchestra BioMed, Inc., a Delaware corporation (the</w:t>
      </w:r>
    </w:p>
    <w:p>
      <w:pPr>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purchasing parties signatory hereto (the “</w:t>
      </w:r>
      <w:r>
        <w:rPr>
          <w:rFonts w:ascii="Times New Roman" w:cs="Times New Roman" w:eastAsia="Times New Roman" w:hAnsi="Times New Roman"/>
          <w:sz w:val="22"/>
          <w:szCs w:val="22"/>
          <w:u w:val="single" w:color="auto"/>
          <w:color w:val="auto"/>
        </w:rPr>
        <w:t>Purchasing Parties</w:t>
      </w:r>
      <w:r>
        <w:rPr>
          <w:rFonts w:ascii="Times New Roman" w:cs="Times New Roman" w:eastAsia="Times New Roman" w:hAnsi="Times New Roman"/>
          <w:sz w:val="22"/>
          <w:szCs w:val="22"/>
          <w:color w:val="auto"/>
        </w:rPr>
        <w:t>”). Capitalized terms used but not defined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Agreement shall have the meanings ascribed to such terms in that certain Agreement and Plan of Merger, dated as of the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this Agreement, by and among Parent, the Company and HSAC Olympus Merger Sub, Inc. (the “</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WHEREAS, in connection with the Closing under the Merger Agreement (the “</w:t>
      </w:r>
      <w:r>
        <w:rPr>
          <w:rFonts w:ascii="Times New Roman" w:cs="Times New Roman" w:eastAsia="Times New Roman" w:hAnsi="Times New Roman"/>
          <w:sz w:val="22"/>
          <w:szCs w:val="22"/>
          <w:u w:val="single" w:color="auto"/>
          <w:color w:val="auto"/>
        </w:rPr>
        <w:t>Merger Closing</w:t>
      </w:r>
      <w:r>
        <w:rPr>
          <w:rFonts w:ascii="Times New Roman" w:cs="Times New Roman" w:eastAsia="Times New Roman" w:hAnsi="Times New Roman"/>
          <w:sz w:val="22"/>
          <w:szCs w:val="22"/>
          <w:color w:val="auto"/>
        </w:rPr>
        <w:t>”), the Purchasing Party wishes to purchase, up to 1,000,000 Parent Ordinary Shares on the terms and conditions set forth herein; and</w:t>
      </w:r>
    </w:p>
    <w:p>
      <w:pPr>
        <w:spacing w:after="0" w:line="185" w:lineRule="exact"/>
        <w:rPr>
          <w:sz w:val="20"/>
          <w:szCs w:val="20"/>
          <w:color w:val="auto"/>
        </w:rPr>
      </w:pPr>
    </w:p>
    <w:p>
      <w:pPr>
        <w:ind w:right="80" w:firstLine="647"/>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premises, representations, warranties and the mutual covenants contained in this Agreement, and for other good and valuable consideration, the receipt, sufficiency and adequacy of which are hereby acknowledged, the parties hereto agree as follows:</w:t>
      </w:r>
    </w:p>
    <w:p>
      <w:pPr>
        <w:spacing w:after="0" w:line="196" w:lineRule="exact"/>
        <w:rPr>
          <w:sz w:val="20"/>
          <w:szCs w:val="20"/>
          <w:color w:val="auto"/>
        </w:rPr>
      </w:pPr>
    </w:p>
    <w:p>
      <w:pPr>
        <w:ind w:right="260" w:firstLine="656"/>
        <w:spacing w:after="0" w:line="255" w:lineRule="auto"/>
        <w:tabs>
          <w:tab w:leader="none" w:pos="1350" w:val="left"/>
        </w:tabs>
        <w:numPr>
          <w:ilvl w:val="1"/>
          <w:numId w:val="3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Forward Purchase Shares. </w:t>
      </w:r>
      <w:r>
        <w:rPr>
          <w:rFonts w:ascii="Times New Roman" w:cs="Times New Roman" w:eastAsia="Times New Roman" w:hAnsi="Times New Roman"/>
          <w:sz w:val="21"/>
          <w:szCs w:val="21"/>
          <w:color w:val="auto"/>
        </w:rPr>
        <w:t>Parent shall issue and sell to the Purchasing Party, and the Purchasing Party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purchase from Parent, a number of Parent Ordinary Shares (the “</w:t>
      </w:r>
      <w:r>
        <w:rPr>
          <w:rFonts w:ascii="Times New Roman" w:cs="Times New Roman" w:eastAsia="Times New Roman" w:hAnsi="Times New Roman"/>
          <w:sz w:val="21"/>
          <w:szCs w:val="21"/>
          <w:u w:val="single" w:color="auto"/>
          <w:color w:val="auto"/>
        </w:rPr>
        <w:t>Forward Purchase Shares</w:t>
      </w:r>
      <w:r>
        <w:rPr>
          <w:rFonts w:ascii="Times New Roman" w:cs="Times New Roman" w:eastAsia="Times New Roman" w:hAnsi="Times New Roman"/>
          <w:sz w:val="21"/>
          <w:szCs w:val="21"/>
          <w:color w:val="auto"/>
        </w:rPr>
        <w:t xml:space="preserve">”) equal to (a) (i) $10,000,000 </w:t>
      </w:r>
      <w:r>
        <w:rPr>
          <w:rFonts w:ascii="Times New Roman" w:cs="Times New Roman" w:eastAsia="Times New Roman" w:hAnsi="Times New Roman"/>
          <w:sz w:val="21"/>
          <w:szCs w:val="21"/>
          <w:i w:val="1"/>
          <w:iCs w:val="1"/>
          <w:color w:val="auto"/>
        </w:rPr>
        <w:t>minus</w:t>
      </w:r>
    </w:p>
    <w:p>
      <w:pPr>
        <w:ind w:left="320" w:hanging="312"/>
        <w:spacing w:after="0" w:line="230" w:lineRule="auto"/>
        <w:tabs>
          <w:tab w:leader="none" w:pos="320"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dollar amount paid by the Purchasing Party to purchase Parent Ordinary Shares having redemption rights</w:t>
      </w:r>
    </w:p>
    <w:p>
      <w:pPr>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date hereof until immediately prior to the Share Purchase Closing that the Purchasing Party continues to directly own at such time (the “</w:t>
      </w:r>
      <w:r>
        <w:rPr>
          <w:rFonts w:ascii="Times New Roman" w:cs="Times New Roman" w:eastAsia="Times New Roman" w:hAnsi="Times New Roman"/>
          <w:sz w:val="22"/>
          <w:szCs w:val="22"/>
          <w:u w:val="single" w:color="auto"/>
          <w:color w:val="auto"/>
        </w:rPr>
        <w:t>Market Transaction Shares</w:t>
      </w:r>
      <w:r>
        <w:rPr>
          <w:rFonts w:ascii="Times New Roman" w:cs="Times New Roman" w:eastAsia="Times New Roman" w:hAnsi="Times New Roman"/>
          <w:sz w:val="22"/>
          <w:szCs w:val="22"/>
          <w:color w:val="auto"/>
        </w:rPr>
        <w:t>”), divided by (b) $10.00 (the “</w:t>
      </w:r>
      <w:r>
        <w:rPr>
          <w:rFonts w:ascii="Times New Roman" w:cs="Times New Roman" w:eastAsia="Times New Roman" w:hAnsi="Times New Roman"/>
          <w:sz w:val="22"/>
          <w:szCs w:val="22"/>
          <w:u w:val="single" w:color="auto"/>
          <w:color w:val="auto"/>
        </w:rPr>
        <w:t>Per Share Price</w:t>
      </w:r>
      <w:r>
        <w:rPr>
          <w:rFonts w:ascii="Times New Roman" w:cs="Times New Roman" w:eastAsia="Times New Roman" w:hAnsi="Times New Roman"/>
          <w:sz w:val="22"/>
          <w:szCs w:val="22"/>
          <w:color w:val="auto"/>
        </w:rPr>
        <w:t>”). For the avoidance of doubt, in no event shall the aggregate amount of funds received by Parent in respect of the Forward Purchase Shares, when taken together with funds that continue to be held in the Trust Account at the Merger Closing in respect of the Market Transaction Shares, be less than $10,000,000.</w:t>
      </w:r>
    </w:p>
    <w:p>
      <w:pPr>
        <w:spacing w:after="0" w:line="202"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1"/>
          <w:numId w:val="3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 Purchase Closing</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ind w:right="220" w:firstLine="1304"/>
        <w:spacing w:after="0" w:line="249" w:lineRule="auto"/>
        <w:tabs>
          <w:tab w:leader="none" w:pos="2076" w:val="left"/>
        </w:tabs>
        <w:numPr>
          <w:ilvl w:val="2"/>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the closing of the sale of the Forward Purchase Shares, if any (the “</w:t>
      </w:r>
      <w:r>
        <w:rPr>
          <w:rFonts w:ascii="Times New Roman" w:cs="Times New Roman" w:eastAsia="Times New Roman" w:hAnsi="Times New Roman"/>
          <w:sz w:val="21"/>
          <w:szCs w:val="21"/>
          <w:u w:val="single" w:color="auto"/>
          <w:color w:val="auto"/>
        </w:rPr>
        <w:t>Share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Purchase Closing</w:t>
      </w:r>
      <w:r>
        <w:rPr>
          <w:rFonts w:ascii="Times New Roman" w:cs="Times New Roman" w:eastAsia="Times New Roman" w:hAnsi="Times New Roman"/>
          <w:sz w:val="21"/>
          <w:szCs w:val="21"/>
          <w:color w:val="auto"/>
        </w:rPr>
        <w:t xml:space="preserve">”), shall be held on the Closing Date, immediately prior to the Domestication. At the Share Purchase Closing, Parent will issue to the Purchasing Party the Forward Shares against (and concurrently with) the payment to Parent by the Purchasing Party of an amount equal to the product of (i) the number of Forward Purchase Shares, multiplied by (ii) the Per Share Price. All payments required to be made to Parent by the Purchasing Party pursuant to this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shall be made by wire transfer of immediately available funds pursuant to written instructions provided by Parent to the Purchasing Party.</w:t>
      </w:r>
    </w:p>
    <w:p>
      <w:pPr>
        <w:spacing w:after="0" w:line="197" w:lineRule="exact"/>
        <w:rPr>
          <w:rFonts w:ascii="Times New Roman" w:cs="Times New Roman" w:eastAsia="Times New Roman" w:hAnsi="Times New Roman"/>
          <w:sz w:val="21"/>
          <w:szCs w:val="21"/>
          <w:color w:val="auto"/>
        </w:rPr>
      </w:pPr>
    </w:p>
    <w:p>
      <w:pPr>
        <w:ind w:left="2100" w:hanging="796"/>
        <w:spacing w:after="0"/>
        <w:tabs>
          <w:tab w:leader="none" w:pos="2100" w:val="left"/>
        </w:tabs>
        <w:numPr>
          <w:ilvl w:val="2"/>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Forward Purchase Shares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0" w:firstLine="1952"/>
        <w:spacing w:after="0" w:line="244" w:lineRule="auto"/>
        <w:tabs>
          <w:tab w:leader="none" w:pos="2688" w:val="left"/>
        </w:tabs>
        <w:numPr>
          <w:ilvl w:val="3"/>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shall register the Purchasing Party as the owner of the Forward Purchase Shares on Parent’s share register and with Parent’s transfer agent by book entry on or promptly after (but in no event more than two (2) Business Days after) the date of the Share Purchase Closing.</w:t>
      </w:r>
    </w:p>
    <w:p>
      <w:pPr>
        <w:spacing w:after="0" w:line="200" w:lineRule="exact"/>
        <w:rPr>
          <w:rFonts w:ascii="Times New Roman" w:cs="Times New Roman" w:eastAsia="Times New Roman" w:hAnsi="Times New Roman"/>
          <w:sz w:val="22"/>
          <w:szCs w:val="22"/>
          <w:color w:val="auto"/>
        </w:rPr>
      </w:pPr>
    </w:p>
    <w:p>
      <w:pPr>
        <w:ind w:right="200" w:firstLine="1952"/>
        <w:spacing w:after="0" w:line="244" w:lineRule="auto"/>
        <w:tabs>
          <w:tab w:leader="none" w:pos="2748" w:val="left"/>
        </w:tabs>
        <w:numPr>
          <w:ilvl w:val="3"/>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register and book entry for the Forward Purchase Shares shall contain a notation, and each certificate (if any) evidencing the Forward Purchase Shares shall be stamped or otherwise imprinted with a legend, in substantially the following form:</w:t>
      </w:r>
    </w:p>
    <w:p>
      <w:pPr>
        <w:spacing w:after="0" w:line="200"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“THE SECURITIES REPRESENTED HEREBY HAVE NOT BEEN REGISTERED UNDER THE U.S. SECURITIES ACT OF 1933, AS AMENDED, OR THE SECURITIES LAWS OF ANY STATE OR OTHER JURISDICTION, AND MAY NOT BE TRANSFERRED IN VIOLATION OF SUCH ACT AND LAWS.</w:t>
      </w:r>
    </w:p>
    <w:p>
      <w:pPr>
        <w:spacing w:after="0" w:line="200" w:lineRule="exact"/>
        <w:rPr>
          <w:sz w:val="20"/>
          <w:szCs w:val="20"/>
          <w:color w:val="auto"/>
        </w:rPr>
      </w:pPr>
    </w:p>
    <w:p>
      <w:pPr>
        <w:jc w:val="both"/>
        <w:ind w:firstLine="1304"/>
        <w:spacing w:after="0" w:line="239" w:lineRule="auto"/>
        <w:tabs>
          <w:tab w:leader="none" w:pos="2076"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sales permitted pursuant to Rule 144 promulgated under the Exchange Act, if required by Parent’s transfer agent, Parent will promptly cause an opinion of counsel to be delivered to its transfer agent, together with any other authorizations, certificates and directions required by the transfer agent that authorize and direct the transfer agent to transfer such Forward Purchase Shares without any such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52" w:name="page253"/>
    <w:bookmarkEnd w:id="252"/>
    <w:p>
      <w:pPr>
        <w:ind w:left="-656" w:right="140" w:firstLine="1304"/>
        <w:spacing w:after="0" w:line="238" w:lineRule="auto"/>
        <w:tabs>
          <w:tab w:leader="none" w:pos="1432"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Rights</w:t>
      </w:r>
      <w:r>
        <w:rPr>
          <w:rFonts w:ascii="Times New Roman" w:cs="Times New Roman" w:eastAsia="Times New Roman" w:hAnsi="Times New Roman"/>
          <w:sz w:val="22"/>
          <w:szCs w:val="22"/>
          <w:color w:val="auto"/>
        </w:rPr>
        <w:t>. The Purchasing Party shall have registration rights with respect to their Forward Purchase Shares as set forth in the Registration Rights Agreement that will be entered into by and among Parent, the Purchasing Party, the Company and certain other parties thereto in connection with the consummation of the transactions contemplated by the Merger Agreement (the “</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and the form of which is attached to the Merger Agreement as Exhibit C (the “</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jc w:val="both"/>
        <w:ind w:left="-656" w:right="140" w:firstLine="1304"/>
        <w:spacing w:after="0" w:line="261" w:lineRule="auto"/>
        <w:tabs>
          <w:tab w:leader="none" w:pos="1420" w:val="left"/>
        </w:tabs>
        <w:numPr>
          <w:ilvl w:val="1"/>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to Notional Amounts</w:t>
      </w:r>
      <w:r>
        <w:rPr>
          <w:rFonts w:ascii="Times New Roman" w:cs="Times New Roman" w:eastAsia="Times New Roman" w:hAnsi="Times New Roman"/>
          <w:sz w:val="21"/>
          <w:szCs w:val="21"/>
          <w:color w:val="auto"/>
        </w:rPr>
        <w:t>. In the event of any change to the capital structure of Parent, whether dilutive or otherwise, by way of a share dividend, share split, or any other similar transaction however described, the number of Forward Purchase Shares, and/or the Per Share Price, as applicable, will be adjusted as necessary to account for such changes.</w:t>
      </w:r>
    </w:p>
    <w:p>
      <w:pPr>
        <w:spacing w:after="0" w:line="180" w:lineRule="exact"/>
        <w:rPr>
          <w:rFonts w:ascii="Times New Roman" w:cs="Times New Roman" w:eastAsia="Times New Roman" w:hAnsi="Times New Roman"/>
          <w:sz w:val="21"/>
          <w:szCs w:val="21"/>
          <w:color w:val="auto"/>
        </w:rPr>
      </w:pPr>
    </w:p>
    <w:p>
      <w:pPr>
        <w:ind w:left="-656" w:right="520" w:firstLine="656"/>
        <w:spacing w:after="0" w:line="262" w:lineRule="auto"/>
        <w:tabs>
          <w:tab w:leader="none" w:pos="694" w:val="left"/>
        </w:tabs>
        <w:numPr>
          <w:ilvl w:val="0"/>
          <w:numId w:val="3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 of the Purchasing Party</w:t>
      </w:r>
      <w:r>
        <w:rPr>
          <w:rFonts w:ascii="Times New Roman" w:cs="Times New Roman" w:eastAsia="Times New Roman" w:hAnsi="Times New Roman"/>
          <w:sz w:val="22"/>
          <w:szCs w:val="22"/>
          <w:color w:val="auto"/>
        </w:rPr>
        <w:t>. The Purchasing Party represents and warrants,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severally and not jointly, to each of Parent and the Company as follows:</w:t>
      </w:r>
    </w:p>
    <w:p>
      <w:pPr>
        <w:spacing w:after="0" w:line="180" w:lineRule="exact"/>
        <w:rPr>
          <w:rFonts w:ascii="Times New Roman" w:cs="Times New Roman" w:eastAsia="Times New Roman" w:hAnsi="Times New Roman"/>
          <w:sz w:val="22"/>
          <w:szCs w:val="22"/>
          <w:b w:val="1"/>
          <w:bCs w:val="1"/>
          <w:color w:val="auto"/>
        </w:rPr>
      </w:pPr>
    </w:p>
    <w:p>
      <w:pPr>
        <w:jc w:val="both"/>
        <w:ind w:left="-656" w:right="180" w:firstLine="1304"/>
        <w:spacing w:after="0" w:line="244" w:lineRule="auto"/>
        <w:tabs>
          <w:tab w:leader="none" w:pos="1420"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Power</w:t>
      </w:r>
      <w:r>
        <w:rPr>
          <w:rFonts w:ascii="Times New Roman" w:cs="Times New Roman" w:eastAsia="Times New Roman" w:hAnsi="Times New Roman"/>
          <w:sz w:val="22"/>
          <w:szCs w:val="22"/>
          <w:color w:val="auto"/>
        </w:rPr>
        <w:t>. The Purchasing Party is duly organized, validly existing, and in good standing under the Laws of the jurisdiction of its formation and has all requisite power and authority to carry on its business as presently conducted and as proposed to be conducted.</w:t>
      </w:r>
    </w:p>
    <w:p>
      <w:pPr>
        <w:spacing w:after="0" w:line="200" w:lineRule="exact"/>
        <w:rPr>
          <w:rFonts w:ascii="Times New Roman" w:cs="Times New Roman" w:eastAsia="Times New Roman" w:hAnsi="Times New Roman"/>
          <w:sz w:val="22"/>
          <w:szCs w:val="22"/>
          <w:color w:val="auto"/>
        </w:rPr>
      </w:pPr>
    </w:p>
    <w:p>
      <w:pPr>
        <w:ind w:left="-656" w:right="20" w:firstLine="1304"/>
        <w:spacing w:after="0" w:line="235" w:lineRule="auto"/>
        <w:tabs>
          <w:tab w:leader="none" w:pos="1432"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The Purchasing Party has full power and authority to enter into this Agreement. This Agreement, when executed and delivered by the Purchasing Party, will constitute the valid and legally binding obligation of Purchasing Party, enforceable in accordance with its terms, except (i) as limited by applicable bankruptcy, insolvency, reorganization, moratorium, fraudulent conveyance and any other Laws of general application affecting enforcement of creditors’ rights generally, (ii) as limited by Laws relating to the availability of specific performance, injunctive relief or other equitable remedies, or (iii) to the extent the indemnification provisions contained in the Registration Rights Agreement may be limited by applicable federal or state securities Laws.</w:t>
      </w:r>
    </w:p>
    <w:p>
      <w:pPr>
        <w:spacing w:after="0" w:line="210" w:lineRule="exact"/>
        <w:rPr>
          <w:rFonts w:ascii="Times New Roman" w:cs="Times New Roman" w:eastAsia="Times New Roman" w:hAnsi="Times New Roman"/>
          <w:sz w:val="22"/>
          <w:szCs w:val="22"/>
          <w:color w:val="auto"/>
        </w:rPr>
      </w:pPr>
    </w:p>
    <w:p>
      <w:pPr>
        <w:ind w:left="-656" w:right="220" w:firstLine="1304"/>
        <w:spacing w:after="0" w:line="244" w:lineRule="auto"/>
        <w:tabs>
          <w:tab w:leader="none" w:pos="1420"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Consents and Filings</w:t>
      </w:r>
      <w:r>
        <w:rPr>
          <w:rFonts w:ascii="Times New Roman" w:cs="Times New Roman" w:eastAsia="Times New Roman" w:hAnsi="Times New Roman"/>
          <w:sz w:val="22"/>
          <w:szCs w:val="22"/>
          <w:color w:val="auto"/>
        </w:rPr>
        <w:t>. No consent, approval, order or authorization of, or registration, qualification, designation, declaration or filing with, any federal, state or local governmental authority is required on the part of the Purchasing Party in connection with the consummation of the transactions contemplated by this Agreement.</w:t>
      </w:r>
    </w:p>
    <w:p>
      <w:pPr>
        <w:spacing w:after="0" w:line="200" w:lineRule="exact"/>
        <w:rPr>
          <w:rFonts w:ascii="Times New Roman" w:cs="Times New Roman" w:eastAsia="Times New Roman" w:hAnsi="Times New Roman"/>
          <w:sz w:val="22"/>
          <w:szCs w:val="22"/>
          <w:color w:val="auto"/>
        </w:rPr>
      </w:pPr>
    </w:p>
    <w:p>
      <w:pPr>
        <w:ind w:left="-656" w:firstLine="1304"/>
        <w:spacing w:after="0" w:line="235" w:lineRule="auto"/>
        <w:tabs>
          <w:tab w:leader="none" w:pos="1432"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Other Instruments</w:t>
      </w:r>
      <w:r>
        <w:rPr>
          <w:rFonts w:ascii="Times New Roman" w:cs="Times New Roman" w:eastAsia="Times New Roman" w:hAnsi="Times New Roman"/>
          <w:sz w:val="22"/>
          <w:szCs w:val="22"/>
          <w:color w:val="auto"/>
        </w:rPr>
        <w:t>. The execution, delivery and performance by the Purchasing Party of this Agreement and the consummation by the Purchasing Party of the transactions contemplated by this Agreement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 (v) of any provision of federal or state statute, rule or regulation applicable to the Purchasing Party, in each case (other than clause (i)), which would have a material adverse effect on the Purchasing Party or its ability to consummate the transactions contemplated by this Agreement.</w:t>
      </w:r>
    </w:p>
    <w:p>
      <w:pPr>
        <w:spacing w:after="0" w:line="205" w:lineRule="exact"/>
        <w:rPr>
          <w:rFonts w:ascii="Times New Roman" w:cs="Times New Roman" w:eastAsia="Times New Roman" w:hAnsi="Times New Roman"/>
          <w:sz w:val="22"/>
          <w:szCs w:val="22"/>
          <w:color w:val="auto"/>
        </w:rPr>
      </w:pPr>
    </w:p>
    <w:p>
      <w:pPr>
        <w:ind w:left="-656" w:right="80" w:firstLine="1304"/>
        <w:spacing w:after="0" w:line="235" w:lineRule="auto"/>
        <w:tabs>
          <w:tab w:leader="none" w:pos="1420"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Entirely for Own Account</w:t>
      </w:r>
      <w:r>
        <w:rPr>
          <w:rFonts w:ascii="Times New Roman" w:cs="Times New Roman" w:eastAsia="Times New Roman" w:hAnsi="Times New Roman"/>
          <w:sz w:val="22"/>
          <w:szCs w:val="22"/>
          <w:color w:val="auto"/>
        </w:rPr>
        <w:t>. This Agreement is made with the Purchasing Party in reliance upon the Purchasing Party’s representation to Parent, which by the Purchasing Party’s execution of this Agreement, the Purchasing Party hereby confirms, that the Forward Purchase Shares to be acquired by the Purchasing Party will be acquired for investment for the Purchasing Party’s own account, not as a nominee or agent, and not with a view to the resale or distribution of any part thereof, and that the Purchasing Party has no present intention of selling, granting any participation in, or otherwise distributing the same in violation of Law. By executing this Agreement, the Purchasing Party further represents that the Purchasing Party does not presently have any contract, undertaking, agreement or arrangement with any Person to sell, transfer or grant participations to such Person or to any third Person, with respect to any of the Forward Purchase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104775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12" w:right="359" w:bottom="1440" w:gutter="0" w:footer="0" w:header="0"/>
        </w:sectPr>
      </w:pPr>
    </w:p>
    <w:bookmarkStart w:id="253" w:name="page254"/>
    <w:bookmarkEnd w:id="253"/>
    <w:p>
      <w:pPr>
        <w:ind w:left="-1120" w:firstLine="1304"/>
        <w:spacing w:after="0" w:line="244" w:lineRule="auto"/>
        <w:tabs>
          <w:tab w:leader="none" w:pos="932"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Information</w:t>
      </w:r>
      <w:r>
        <w:rPr>
          <w:rFonts w:ascii="Times New Roman" w:cs="Times New Roman" w:eastAsia="Times New Roman" w:hAnsi="Times New Roman"/>
          <w:sz w:val="22"/>
          <w:szCs w:val="22"/>
          <w:color w:val="auto"/>
        </w:rPr>
        <w:t>. The Purchasing Party has had an opportunity to discuss Parent’s existing and planned or expected business, management, financial affairs and the terms and conditions of the purchase and sale of the Forward Purchase Shares, as well as the terms of the Transactions, with Parent’s management.</w:t>
      </w:r>
    </w:p>
    <w:p>
      <w:pPr>
        <w:spacing w:after="0" w:line="200" w:lineRule="exact"/>
        <w:rPr>
          <w:rFonts w:ascii="Times New Roman" w:cs="Times New Roman" w:eastAsia="Times New Roman" w:hAnsi="Times New Roman"/>
          <w:sz w:val="22"/>
          <w:szCs w:val="22"/>
          <w:color w:val="auto"/>
        </w:rPr>
      </w:pPr>
    </w:p>
    <w:p>
      <w:pPr>
        <w:ind w:left="-1120" w:firstLine="1304"/>
        <w:spacing w:after="0" w:line="244" w:lineRule="auto"/>
        <w:tabs>
          <w:tab w:leader="none" w:pos="968"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Forward Purchase Shares</w:t>
      </w:r>
      <w:r>
        <w:rPr>
          <w:rFonts w:ascii="Times New Roman" w:cs="Times New Roman" w:eastAsia="Times New Roman" w:hAnsi="Times New Roman"/>
          <w:sz w:val="21"/>
          <w:szCs w:val="21"/>
          <w:color w:val="auto"/>
        </w:rPr>
        <w:t>. The Purchasing Party understands that the offer and sale of the Forward Purchase Shares to the Purchasing Party has not been, and will not be, registered under the Securities Act, by reason of a specific exemption from the registration provisions of the Securities Act which depends upon, among other things, the bona fide nature of the investment intent and the accuracy of the Purchasing Party’s representations as expressed herein. The Purchasing Party understands that the Forward Purchase Shares are “restricted securities” under applicable U.S. federal and state securities Laws and that, pursuant to these Laws, the Purchasing Party must hold the Forward Purchase Shares indefinitely unless they are registered with the SEC and qualified by state authorities, or an exemption from such registration and qualification requirements is available. The Purchasing Party acknowledges that Parent has no obligation to register or qualify the Forward Purchase Shares, or any securities into which the Forward Purchase Shares may be converted into or exercised for, for resale, except pursuant to the Registration Rights Agreement. The Purchasing Party further acknowledges that if an exemption from registration or qualification is available, it may be conditioned on various requirements including, but not limited to, the time and manner of sale, the holding period for the Forward Purchase Shares, and on requirements relating to Parent which are outside of the Purchasing Party’s control, and which Parent is under no obligation and may not be able to satisfy.</w:t>
      </w:r>
    </w:p>
    <w:p>
      <w:pPr>
        <w:spacing w:after="0" w:line="210" w:lineRule="exact"/>
        <w:rPr>
          <w:rFonts w:ascii="Times New Roman" w:cs="Times New Roman" w:eastAsia="Times New Roman" w:hAnsi="Times New Roman"/>
          <w:sz w:val="21"/>
          <w:szCs w:val="21"/>
          <w:color w:val="auto"/>
        </w:rPr>
      </w:pPr>
    </w:p>
    <w:p>
      <w:pPr>
        <w:jc w:val="both"/>
        <w:ind w:left="-1120" w:right="540" w:firstLine="1304"/>
        <w:spacing w:after="0" w:line="282" w:lineRule="auto"/>
        <w:tabs>
          <w:tab w:leader="none" w:pos="968"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High Degree of Risk</w:t>
      </w:r>
      <w:r>
        <w:rPr>
          <w:rFonts w:ascii="Times New Roman" w:cs="Times New Roman" w:eastAsia="Times New Roman" w:hAnsi="Times New Roman"/>
          <w:sz w:val="21"/>
          <w:szCs w:val="21"/>
          <w:color w:val="auto"/>
        </w:rPr>
        <w:t>. The Purchasing Party understands that its agreement to purchase the Forward Purchase Shares involves a high degree of risk, which could cause the Purchasing Party to lose all or part of its investment.</w:t>
      </w:r>
    </w:p>
    <w:p>
      <w:pPr>
        <w:spacing w:after="0" w:line="161" w:lineRule="exact"/>
        <w:rPr>
          <w:rFonts w:ascii="Times New Roman" w:cs="Times New Roman" w:eastAsia="Times New Roman" w:hAnsi="Times New Roman"/>
          <w:sz w:val="21"/>
          <w:szCs w:val="21"/>
          <w:color w:val="auto"/>
        </w:rPr>
      </w:pPr>
    </w:p>
    <w:p>
      <w:pPr>
        <w:ind w:left="-1120" w:right="680" w:firstLine="1304"/>
        <w:spacing w:after="0" w:line="258" w:lineRule="auto"/>
        <w:tabs>
          <w:tab w:leader="none" w:pos="920"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Accredited Investor</w:t>
      </w:r>
      <w:r>
        <w:rPr>
          <w:rFonts w:ascii="Times New Roman" w:cs="Times New Roman" w:eastAsia="Times New Roman" w:hAnsi="Times New Roman"/>
          <w:sz w:val="22"/>
          <w:szCs w:val="22"/>
          <w:color w:val="auto"/>
        </w:rPr>
        <w:t>. The Purchasing Party is an “accredited investor” as defined in Rule 501(a) of Regulation D promulgated under the Securities Act.</w:t>
      </w:r>
    </w:p>
    <w:p>
      <w:pPr>
        <w:spacing w:after="0" w:line="185" w:lineRule="exact"/>
        <w:rPr>
          <w:rFonts w:ascii="Times New Roman" w:cs="Times New Roman" w:eastAsia="Times New Roman" w:hAnsi="Times New Roman"/>
          <w:sz w:val="22"/>
          <w:szCs w:val="22"/>
          <w:color w:val="auto"/>
        </w:rPr>
      </w:pPr>
    </w:p>
    <w:p>
      <w:pPr>
        <w:ind w:left="-1120" w:right="180" w:firstLine="1304"/>
        <w:spacing w:after="0" w:line="239" w:lineRule="auto"/>
        <w:tabs>
          <w:tab w:leader="none" w:pos="920"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General Solicitation</w:t>
      </w:r>
      <w:r>
        <w:rPr>
          <w:rFonts w:ascii="Times New Roman" w:cs="Times New Roman" w:eastAsia="Times New Roman" w:hAnsi="Times New Roman"/>
          <w:sz w:val="22"/>
          <w:szCs w:val="22"/>
          <w:color w:val="auto"/>
        </w:rPr>
        <w:t>. Neither the Purchasing Party, nor any of its officers, directors, employees, agents, stockholders or partners has either directly or indirectly, including, through a broker or finder (i) to its knowledge, engaged in any general solicitation, or (ii) published any advertisement in connection with the purchase and sale of the Forward Purchase Shares.</w:t>
      </w:r>
    </w:p>
    <w:p>
      <w:pPr>
        <w:spacing w:after="0" w:line="207" w:lineRule="exact"/>
        <w:rPr>
          <w:rFonts w:ascii="Times New Roman" w:cs="Times New Roman" w:eastAsia="Times New Roman" w:hAnsi="Times New Roman"/>
          <w:sz w:val="22"/>
          <w:szCs w:val="22"/>
          <w:color w:val="auto"/>
        </w:rPr>
      </w:pPr>
    </w:p>
    <w:p>
      <w:pPr>
        <w:ind w:left="-1120" w:right="160" w:firstLine="1304"/>
        <w:spacing w:after="0" w:line="258" w:lineRule="auto"/>
        <w:tabs>
          <w:tab w:leader="none" w:pos="968"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The Purchasing Party acknowledges its obligations under applicable securities Laws with respect to the treatment of material non-public information relating to Parent.</w:t>
      </w:r>
    </w:p>
    <w:p>
      <w:pPr>
        <w:spacing w:after="0" w:line="185" w:lineRule="exact"/>
        <w:rPr>
          <w:rFonts w:ascii="Times New Roman" w:cs="Times New Roman" w:eastAsia="Times New Roman" w:hAnsi="Times New Roman"/>
          <w:sz w:val="22"/>
          <w:szCs w:val="22"/>
          <w:color w:val="auto"/>
        </w:rPr>
      </w:pPr>
    </w:p>
    <w:p>
      <w:pPr>
        <w:ind w:left="-1120" w:right="460" w:firstLine="1304"/>
        <w:spacing w:after="0" w:line="258" w:lineRule="auto"/>
        <w:tabs>
          <w:tab w:leader="none" w:pos="920"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Adequacy of Financing</w:t>
      </w:r>
      <w:r>
        <w:rPr>
          <w:rFonts w:ascii="Times New Roman" w:cs="Times New Roman" w:eastAsia="Times New Roman" w:hAnsi="Times New Roman"/>
          <w:sz w:val="22"/>
          <w:szCs w:val="22"/>
          <w:color w:val="auto"/>
        </w:rPr>
        <w:t>. The Purchasing Party will have at the Share Purchase Closing available to it sufficient funds to satisfy its obligations under this Agreement.</w:t>
      </w:r>
    </w:p>
    <w:p>
      <w:pPr>
        <w:spacing w:after="0" w:line="185" w:lineRule="exact"/>
        <w:rPr>
          <w:rFonts w:ascii="Times New Roman" w:cs="Times New Roman" w:eastAsia="Times New Roman" w:hAnsi="Times New Roman"/>
          <w:sz w:val="22"/>
          <w:szCs w:val="22"/>
          <w:color w:val="auto"/>
        </w:rPr>
      </w:pPr>
    </w:p>
    <w:p>
      <w:pPr>
        <w:ind w:left="-1120" w:right="400" w:firstLine="1304"/>
        <w:spacing w:after="0" w:line="244" w:lineRule="auto"/>
        <w:tabs>
          <w:tab w:leader="none" w:pos="1028"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Affiliation of Certain FINRA Members</w:t>
      </w:r>
      <w:r>
        <w:rPr>
          <w:rFonts w:ascii="Times New Roman" w:cs="Times New Roman" w:eastAsia="Times New Roman" w:hAnsi="Times New Roman"/>
          <w:sz w:val="22"/>
          <w:szCs w:val="22"/>
          <w:color w:val="auto"/>
        </w:rPr>
        <w:t>. The Purchasing Party is neither a person associated nor affiliated with any underwriter of the IPO or, to its actual knowledge, any other member of the Financial Industry Regulatory Authority (“</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that participated in the IPO.</w:t>
      </w:r>
    </w:p>
    <w:p>
      <w:pPr>
        <w:spacing w:after="0" w:line="200" w:lineRule="exact"/>
        <w:rPr>
          <w:rFonts w:ascii="Times New Roman" w:cs="Times New Roman" w:eastAsia="Times New Roman" w:hAnsi="Times New Roman"/>
          <w:sz w:val="22"/>
          <w:szCs w:val="22"/>
          <w:color w:val="auto"/>
        </w:rPr>
      </w:pPr>
    </w:p>
    <w:p>
      <w:pPr>
        <w:ind w:left="-1120" w:right="1000" w:firstLine="1304"/>
        <w:spacing w:after="0" w:line="258" w:lineRule="auto"/>
        <w:tabs>
          <w:tab w:leader="none" w:pos="968"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Finder’s Fees</w:t>
      </w:r>
      <w:r>
        <w:rPr>
          <w:rFonts w:ascii="Times New Roman" w:cs="Times New Roman" w:eastAsia="Times New Roman" w:hAnsi="Times New Roman"/>
          <w:sz w:val="22"/>
          <w:szCs w:val="22"/>
          <w:color w:val="auto"/>
        </w:rPr>
        <w:t>. The Purchasing Party is not and will not be obligated for any finder’s fee or commission in connection with the transactions contemplated by this Agreement.</w:t>
      </w:r>
    </w:p>
    <w:p>
      <w:pPr>
        <w:spacing w:after="0" w:line="185" w:lineRule="exact"/>
        <w:rPr>
          <w:rFonts w:ascii="Times New Roman" w:cs="Times New Roman" w:eastAsia="Times New Roman" w:hAnsi="Times New Roman"/>
          <w:sz w:val="22"/>
          <w:szCs w:val="22"/>
          <w:color w:val="auto"/>
        </w:rPr>
      </w:pPr>
    </w:p>
    <w:p>
      <w:pPr>
        <w:ind w:left="-1120" w:right="60" w:firstLine="1304"/>
        <w:spacing w:after="0" w:line="235" w:lineRule="auto"/>
        <w:tabs>
          <w:tab w:leader="none" w:pos="968"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Corrupt Practices</w:t>
      </w:r>
      <w:r>
        <w:rPr>
          <w:rFonts w:ascii="Times New Roman" w:cs="Times New Roman" w:eastAsia="Times New Roman" w:hAnsi="Times New Roman"/>
          <w:sz w:val="22"/>
          <w:szCs w:val="22"/>
          <w:color w:val="auto"/>
        </w:rPr>
        <w:t>. Neither the Purchasing Party, nor any director, officer, agent, employee or other Person acting on behalf of the Purchasing Party has, in the course of its actions for, or on behalf of, the Purchasing Party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unlawful bribe, rebate, payoff, influence payment, kickback or other unlawful payment to any foreign or domestic government official 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107950</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2" w:right="359" w:bottom="1440" w:gutter="0" w:footer="0" w:header="0"/>
        </w:sectPr>
      </w:pPr>
    </w:p>
    <w:bookmarkStart w:id="254" w:name="page255"/>
    <w:bookmarkEnd w:id="254"/>
    <w:p>
      <w:pPr>
        <w:ind w:left="-656" w:right="40" w:firstLine="1304"/>
        <w:spacing w:after="0" w:line="234" w:lineRule="auto"/>
        <w:tabs>
          <w:tab w:leader="none" w:pos="1432"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Anti-Money Laundering Laws</w:t>
      </w:r>
      <w:r>
        <w:rPr>
          <w:rFonts w:ascii="Times New Roman" w:cs="Times New Roman" w:eastAsia="Times New Roman" w:hAnsi="Times New Roman"/>
          <w:sz w:val="22"/>
          <w:szCs w:val="22"/>
          <w:color w:val="auto"/>
        </w:rPr>
        <w:t>. The operations of the Purchasing Party are and have been conducted at all times in compliance with applicable financial recordkeeping and reporting requirements and all other applicable U.S. and non-U.S. anti-money laundering Laws and regulations, including, but not limited to, those of the Currency and Foreign Transactions Reporting Act of 1970, as amended, the USA PATRIOT Act of 2001 and the applicable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and no action, suit or proceeding by or before any court or governmental agency, authority or body or any arbitrator involving the Purchasing Party with respect to the Anti-Money Laundering Laws is pending or, to the knowledge of the Purchasing Party, threatened.</w:t>
      </w:r>
    </w:p>
    <w:p>
      <w:pPr>
        <w:spacing w:after="0" w:line="210" w:lineRule="exact"/>
        <w:rPr>
          <w:rFonts w:ascii="Times New Roman" w:cs="Times New Roman" w:eastAsia="Times New Roman" w:hAnsi="Times New Roman"/>
          <w:sz w:val="22"/>
          <w:szCs w:val="22"/>
          <w:color w:val="auto"/>
        </w:rPr>
      </w:pPr>
    </w:p>
    <w:p>
      <w:pPr>
        <w:ind w:left="-656" w:right="20" w:firstLine="1304"/>
        <w:spacing w:after="0" w:line="246" w:lineRule="auto"/>
        <w:tabs>
          <w:tab w:leader="none" w:pos="1432" w:val="left"/>
        </w:tabs>
        <w:numPr>
          <w:ilvl w:val="1"/>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Other Representations and Warranties; Non-Reliance</w:t>
      </w:r>
      <w:r>
        <w:rPr>
          <w:rFonts w:ascii="Times New Roman" w:cs="Times New Roman" w:eastAsia="Times New Roman" w:hAnsi="Times New Roman"/>
          <w:sz w:val="21"/>
          <w:szCs w:val="21"/>
          <w:color w:val="auto"/>
        </w:rPr>
        <w:t xml:space="preserve">. Except for the specific representations and warranties contained in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and in any certificate or agreement delivered pursuant hereto, none of the Purchasing Party nor any person acting on behalf of the Purchasing Party nor any of the Purchasing Party’s affiliates (“</w:t>
      </w:r>
      <w:r>
        <w:rPr>
          <w:rFonts w:ascii="Times New Roman" w:cs="Times New Roman" w:eastAsia="Times New Roman" w:hAnsi="Times New Roman"/>
          <w:sz w:val="21"/>
          <w:szCs w:val="21"/>
          <w:u w:val="single" w:color="auto"/>
          <w:color w:val="auto"/>
        </w:rPr>
        <w:t>Purchasing Party Group</w:t>
      </w:r>
      <w:r>
        <w:rPr>
          <w:rFonts w:ascii="Times New Roman" w:cs="Times New Roman" w:eastAsia="Times New Roman" w:hAnsi="Times New Roman"/>
          <w:sz w:val="21"/>
          <w:szCs w:val="21"/>
          <w:color w:val="auto"/>
        </w:rPr>
        <w:t xml:space="preserve">”) has made, makes or shall be deemed to make any other express or implied representation or warranty with respect to the Purchasing Party or the purchase and sale of the Forward Purchase Shares, and the Purchasing Party disclaim any such representation or warranty. Except for the specific representations and warranties expressly made by (i) Parent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of this Agreement and in any certificate or agreement delivered pursuant hereto and (ii) the Company in Section 5 of this Agreement, the Purchasing Party Group specifically disclaims that it is relying upon any other representations or warranties that may have been made by Parent, any person on behalf of Parent or any of Parent’s affiliates (collectively, the “</w:t>
      </w:r>
      <w:r>
        <w:rPr>
          <w:rFonts w:ascii="Times New Roman" w:cs="Times New Roman" w:eastAsia="Times New Roman" w:hAnsi="Times New Roman"/>
          <w:sz w:val="21"/>
          <w:szCs w:val="21"/>
          <w:u w:val="single" w:color="auto"/>
          <w:color w:val="auto"/>
        </w:rPr>
        <w:t>Parent Parties</w:t>
      </w:r>
      <w:r>
        <w:rPr>
          <w:rFonts w:ascii="Times New Roman" w:cs="Times New Roman" w:eastAsia="Times New Roman" w:hAnsi="Times New Roman"/>
          <w:sz w:val="21"/>
          <w:szCs w:val="21"/>
          <w:color w:val="auto"/>
        </w:rPr>
        <w:t>”).</w:t>
      </w:r>
    </w:p>
    <w:p>
      <w:pPr>
        <w:spacing w:after="0" w:line="198" w:lineRule="exact"/>
        <w:rPr>
          <w:rFonts w:ascii="Times New Roman" w:cs="Times New Roman" w:eastAsia="Times New Roman" w:hAnsi="Times New Roman"/>
          <w:sz w:val="21"/>
          <w:szCs w:val="21"/>
          <w:color w:val="auto"/>
        </w:rPr>
      </w:pPr>
    </w:p>
    <w:p>
      <w:pPr>
        <w:ind w:left="704" w:hanging="704"/>
        <w:spacing w:after="0"/>
        <w:tabs>
          <w:tab w:leader="none" w:pos="704" w:val="left"/>
        </w:tabs>
        <w:numPr>
          <w:ilvl w:val="0"/>
          <w:numId w:val="3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Represe</w:t>
      </w:r>
      <w:r>
        <w:rPr>
          <w:rFonts w:ascii="Times New Roman" w:cs="Times New Roman" w:eastAsia="Times New Roman" w:hAnsi="Times New Roman"/>
          <w:sz w:val="21"/>
          <w:szCs w:val="21"/>
          <w:color w:val="auto"/>
        </w:rPr>
        <w:t>n</w:t>
      </w:r>
      <w:r>
        <w:rPr>
          <w:rFonts w:ascii="Times New Roman" w:cs="Times New Roman" w:eastAsia="Times New Roman" w:hAnsi="Times New Roman"/>
          <w:sz w:val="21"/>
          <w:szCs w:val="21"/>
          <w:b w:val="1"/>
          <w:bCs w:val="1"/>
          <w:color w:val="auto"/>
        </w:rPr>
        <w:t>tations and Warranties of Parent</w:t>
      </w:r>
      <w:r>
        <w:rPr>
          <w:rFonts w:ascii="Times New Roman" w:cs="Times New Roman" w:eastAsia="Times New Roman" w:hAnsi="Times New Roman"/>
          <w:sz w:val="21"/>
          <w:szCs w:val="21"/>
          <w:color w:val="auto"/>
        </w:rPr>
        <w:t>. Parent represents and warrants to the Purchasing Party as follows:</w:t>
      </w:r>
    </w:p>
    <w:p>
      <w:pPr>
        <w:spacing w:after="0" w:line="248" w:lineRule="exact"/>
        <w:rPr>
          <w:rFonts w:ascii="Times New Roman" w:cs="Times New Roman" w:eastAsia="Times New Roman" w:hAnsi="Times New Roman"/>
          <w:sz w:val="21"/>
          <w:szCs w:val="21"/>
          <w:b w:val="1"/>
          <w:bCs w:val="1"/>
          <w:color w:val="auto"/>
        </w:rPr>
      </w:pPr>
    </w:p>
    <w:p>
      <w:pPr>
        <w:ind w:left="-656" w:right="200" w:firstLine="1304"/>
        <w:spacing w:after="0" w:line="244" w:lineRule="auto"/>
        <w:tabs>
          <w:tab w:leader="none" w:pos="1420"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and Corporate Power</w:t>
      </w:r>
      <w:r>
        <w:rPr>
          <w:rFonts w:ascii="Times New Roman" w:cs="Times New Roman" w:eastAsia="Times New Roman" w:hAnsi="Times New Roman"/>
          <w:sz w:val="22"/>
          <w:szCs w:val="22"/>
          <w:color w:val="auto"/>
        </w:rPr>
        <w:t>. Parent is an exempted company duly incorporated, validly existing and in good standing under the Laws of the Cayman Islands and has all requisite corporate power and authority to carry on its business as presently conducted and as proposed to be conducted.</w:t>
      </w:r>
    </w:p>
    <w:p>
      <w:pPr>
        <w:spacing w:after="0" w:line="200" w:lineRule="exact"/>
        <w:rPr>
          <w:rFonts w:ascii="Times New Roman" w:cs="Times New Roman" w:eastAsia="Times New Roman" w:hAnsi="Times New Roman"/>
          <w:sz w:val="22"/>
          <w:szCs w:val="22"/>
          <w:color w:val="auto"/>
        </w:rPr>
      </w:pPr>
    </w:p>
    <w:p>
      <w:pPr>
        <w:ind w:left="-656" w:right="40" w:firstLine="1304"/>
        <w:spacing w:after="0" w:line="238" w:lineRule="auto"/>
        <w:tabs>
          <w:tab w:leader="none" w:pos="1432"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Capitalization</w:t>
      </w:r>
      <w:r>
        <w:rPr>
          <w:rFonts w:ascii="Times New Roman" w:cs="Times New Roman" w:eastAsia="Times New Roman" w:hAnsi="Times New Roman"/>
          <w:sz w:val="22"/>
          <w:szCs w:val="22"/>
          <w:color w:val="auto"/>
        </w:rPr>
        <w:t>. The authorized share capital of Parent consists, as of the date hereof, of 100,000,000 shares of Parent Ordinary Shares and 1,000,000 preference shares, of which 20,450,000 Parent Ordinary Shares and no Parent Preferred Shares are issued and outstanding. All of the issued and outstanding Parent Ordinary Shares and preference shares have been duly authorized, are fully paid and nonassessable and were issued in compliance with all applicable federal and state securities Laws.</w:t>
      </w:r>
    </w:p>
    <w:p>
      <w:pPr>
        <w:spacing w:after="0" w:line="203" w:lineRule="exact"/>
        <w:rPr>
          <w:rFonts w:ascii="Times New Roman" w:cs="Times New Roman" w:eastAsia="Times New Roman" w:hAnsi="Times New Roman"/>
          <w:sz w:val="22"/>
          <w:szCs w:val="22"/>
          <w:color w:val="auto"/>
        </w:rPr>
      </w:pPr>
    </w:p>
    <w:p>
      <w:pPr>
        <w:ind w:left="-656" w:right="60" w:firstLine="1304"/>
        <w:spacing w:after="0" w:line="233" w:lineRule="auto"/>
        <w:tabs>
          <w:tab w:leader="none" w:pos="1420"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All corporate action required to be taken by Parent’s Board of Directors and shareholders in order to authorize Parent to enter into this Agreement, and to issue the Forward Purchase Shares at the Share Purchase Closing has been taken or will be taken prior to the Share Purchase Closing, as applicable. All action on the part of the shareholders, directors and officers of Parent necessary for the execution and delivery of this Agreement, the performance of all obligations of Parent under this Agreement to be performed as of the Share Purchase Closing, and the issuance and delivery of the Forward Purchase Shares has been taken or will be taken prior to the Share Purchase Closing. This Agreement, when executed and delivered by Parent, shall constitute a valid and legally binding obligation of Parent, enforceable against Parent in accordance with its terms except (i)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the Registration Rights Agreement may be limited by applicable federal or state securities Laws.</w:t>
      </w:r>
    </w:p>
    <w:p>
      <w:pPr>
        <w:spacing w:after="0" w:line="211" w:lineRule="exact"/>
        <w:rPr>
          <w:rFonts w:ascii="Times New Roman" w:cs="Times New Roman" w:eastAsia="Times New Roman" w:hAnsi="Times New Roman"/>
          <w:sz w:val="22"/>
          <w:szCs w:val="22"/>
          <w:color w:val="auto"/>
        </w:rPr>
      </w:pPr>
    </w:p>
    <w:p>
      <w:pPr>
        <w:ind w:left="1444" w:hanging="796"/>
        <w:spacing w:after="0"/>
        <w:tabs>
          <w:tab w:leader="none" w:pos="1444"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 Issuance of Forward Purchase Shares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56" w:firstLine="1952"/>
        <w:spacing w:after="0" w:line="235" w:lineRule="auto"/>
        <w:tabs>
          <w:tab w:leader="none" w:pos="2028" w:val="left"/>
        </w:tabs>
        <w:numPr>
          <w:ilvl w:val="2"/>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Forward Purchase Shares, when issued, sold and delivered in accordance with the terms and for the consideration set forth in this Agreement and registered in the register of members of the Company when issued in accordance with this Agreement, and registered on Parent’s share register, will be validly issued, fully paid and nonassessable and free of all preemptive or similar rights, liens, encumbrances and charges with respect to the issue thereof and restrictions on transfer other than restrictions on transfer specified under this Agreement, applicable state and federal securities Laws and liens or encumbrances created by or imposed by the Purchasing Party, as applicable. Assuming the accuracy of the representations of the Purchasing Party in this Agreement and subject to the filings described in </w:t>
      </w:r>
      <w:r>
        <w:rPr>
          <w:rFonts w:ascii="Times New Roman" w:cs="Times New Roman" w:eastAsia="Times New Roman" w:hAnsi="Times New Roman"/>
          <w:sz w:val="22"/>
          <w:szCs w:val="22"/>
          <w:u w:val="single" w:color="auto"/>
          <w:color w:val="auto"/>
        </w:rPr>
        <w:t>Section 4(e)</w:t>
      </w:r>
      <w:r>
        <w:rPr>
          <w:rFonts w:ascii="Times New Roman" w:cs="Times New Roman" w:eastAsia="Times New Roman" w:hAnsi="Times New Roman"/>
          <w:sz w:val="22"/>
          <w:szCs w:val="22"/>
          <w:color w:val="auto"/>
        </w:rPr>
        <w:t xml:space="preserve"> below, the Forward Purchase Shares will be issued in compliance with all applicable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104775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255" w:name="page256"/>
    <w:bookmarkEnd w:id="255"/>
    <w:p>
      <w:pPr>
        <w:ind w:left="2760" w:hanging="808"/>
        <w:spacing w:after="0"/>
        <w:tabs>
          <w:tab w:leader="none" w:pos="276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“bad actor” disqualifying event described in Rule 506(d)(1)(i)-(viii) of the Securities Act (a</w:t>
      </w:r>
    </w:p>
    <w:p>
      <w:pPr>
        <w:spacing w:after="0" w:line="1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Disqualification Event</w:t>
      </w:r>
      <w:r>
        <w:rPr>
          <w:rFonts w:ascii="Times New Roman" w:cs="Times New Roman" w:eastAsia="Times New Roman" w:hAnsi="Times New Roman"/>
          <w:sz w:val="22"/>
          <w:szCs w:val="22"/>
          <w:color w:val="auto"/>
        </w:rPr>
        <w:t>”) is applicable to Parent or, to Parent’s knowledge, any Parent Covered Person (as defined below), except for a Disqualification Event as to which Rule 506(d)(2)(ii—iv) or (d)(3), is applicable. “</w:t>
      </w:r>
      <w:r>
        <w:rPr>
          <w:rFonts w:ascii="Times New Roman" w:cs="Times New Roman" w:eastAsia="Times New Roman" w:hAnsi="Times New Roman"/>
          <w:sz w:val="22"/>
          <w:szCs w:val="22"/>
          <w:u w:val="single" w:color="auto"/>
          <w:color w:val="auto"/>
        </w:rPr>
        <w:t>Parent Covered Person</w:t>
      </w:r>
      <w:r>
        <w:rPr>
          <w:rFonts w:ascii="Times New Roman" w:cs="Times New Roman" w:eastAsia="Times New Roman" w:hAnsi="Times New Roman"/>
          <w:sz w:val="22"/>
          <w:szCs w:val="22"/>
          <w:color w:val="auto"/>
        </w:rPr>
        <w:t>” means, with respect to Parent as an “issuer” for purposes of Rule 506 promulgated under the Securities Act, any Person listed in the first paragraph of Rule 506(d)(1).</w:t>
      </w:r>
    </w:p>
    <w:p>
      <w:pPr>
        <w:spacing w:after="0" w:line="204" w:lineRule="exact"/>
        <w:rPr>
          <w:sz w:val="20"/>
          <w:szCs w:val="20"/>
          <w:color w:val="auto"/>
        </w:rPr>
      </w:pPr>
    </w:p>
    <w:p>
      <w:pPr>
        <w:ind w:right="80" w:firstLine="1304"/>
        <w:spacing w:after="0" w:line="238" w:lineRule="auto"/>
        <w:tabs>
          <w:tab w:leader="none" w:pos="2076"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Consents and Filings</w:t>
      </w:r>
      <w:r>
        <w:rPr>
          <w:rFonts w:ascii="Times New Roman" w:cs="Times New Roman" w:eastAsia="Times New Roman" w:hAnsi="Times New Roman"/>
          <w:sz w:val="22"/>
          <w:szCs w:val="22"/>
          <w:color w:val="auto"/>
        </w:rPr>
        <w:t>. Assuming the accuracy of the representations and warranties made by the Purchasing Party in this Agreement, no consent, approval, order or authorization of, or registration, qualification, designation, declaration or filing with, any federal, state or local governmental authority is required on the part of Parent in connection with the consummation of the transactions contemplated by this Agreement, except for filings pursuant to Regulation D of the Securities Act, applicable state securities Laws and pursuant to the Registration Rights Agreement.</w:t>
      </w:r>
    </w:p>
    <w:p>
      <w:pPr>
        <w:spacing w:after="0" w:line="203" w:lineRule="exact"/>
        <w:rPr>
          <w:rFonts w:ascii="Times New Roman" w:cs="Times New Roman" w:eastAsia="Times New Roman" w:hAnsi="Times New Roman"/>
          <w:sz w:val="22"/>
          <w:szCs w:val="22"/>
          <w:color w:val="auto"/>
        </w:rPr>
      </w:pPr>
    </w:p>
    <w:p>
      <w:pPr>
        <w:ind w:right="60" w:firstLine="1304"/>
        <w:spacing w:after="0" w:line="235" w:lineRule="auto"/>
        <w:tabs>
          <w:tab w:leader="none" w:pos="2052"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Other Instruments</w:t>
      </w:r>
      <w:r>
        <w:rPr>
          <w:rFonts w:ascii="Times New Roman" w:cs="Times New Roman" w:eastAsia="Times New Roman" w:hAnsi="Times New Roman"/>
          <w:sz w:val="22"/>
          <w:szCs w:val="22"/>
          <w:color w:val="auto"/>
        </w:rPr>
        <w:t>. The execution, delivery and performance of this Agreement and the consummation of the transactions contemplated by this Agreement will not result in any violation or default (i) of any provisions of Parent’s Governing Documents, as they may be amended from time to time, (ii) of any instrument, judgment, order, writ or decree to which Parent is a party or by which it is bound, (iii) under any note, indenture or mortgage to which Parent is a party or by which it is bound, (iv) under any lease, agreement, contract or purchase order to which Parent is a party or by which it is bound or (v) of any provision of federal or state statute, rule or regulation applicable to Parent, in each case (other than clause (i)) which would have a material adverse effect on Parent or its ability to consummate the transactions contemplated by this Agreement.</w:t>
      </w:r>
    </w:p>
    <w:p>
      <w:pPr>
        <w:spacing w:after="0" w:line="205" w:lineRule="exact"/>
        <w:rPr>
          <w:rFonts w:ascii="Times New Roman" w:cs="Times New Roman" w:eastAsia="Times New Roman" w:hAnsi="Times New Roman"/>
          <w:sz w:val="22"/>
          <w:szCs w:val="22"/>
          <w:color w:val="auto"/>
        </w:rPr>
      </w:pPr>
    </w:p>
    <w:p>
      <w:pPr>
        <w:ind w:right="280" w:firstLine="1304"/>
        <w:spacing w:after="0" w:line="244" w:lineRule="auto"/>
        <w:tabs>
          <w:tab w:leader="none" w:pos="2088"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Operations</w:t>
      </w:r>
      <w:r>
        <w:rPr>
          <w:rFonts w:ascii="Times New Roman" w:cs="Times New Roman" w:eastAsia="Times New Roman" w:hAnsi="Times New Roman"/>
          <w:sz w:val="22"/>
          <w:szCs w:val="22"/>
          <w:color w:val="auto"/>
        </w:rPr>
        <w:t>. As of the date hereof, Parent has not conducted any operations other than organizational activities and activities in connection with the IPO, its search for a potential business combination and financing in connection therewith.</w:t>
      </w:r>
    </w:p>
    <w:p>
      <w:pPr>
        <w:spacing w:after="0" w:line="200" w:lineRule="exact"/>
        <w:rPr>
          <w:rFonts w:ascii="Times New Roman" w:cs="Times New Roman" w:eastAsia="Times New Roman" w:hAnsi="Times New Roman"/>
          <w:sz w:val="22"/>
          <w:szCs w:val="22"/>
          <w:color w:val="auto"/>
        </w:rPr>
      </w:pPr>
    </w:p>
    <w:p>
      <w:pPr>
        <w:ind w:right="80" w:firstLine="1304"/>
        <w:spacing w:after="0" w:line="235" w:lineRule="auto"/>
        <w:tabs>
          <w:tab w:leader="none" w:pos="2088"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Corrupt Practices</w:t>
      </w:r>
      <w:r>
        <w:rPr>
          <w:rFonts w:ascii="Times New Roman" w:cs="Times New Roman" w:eastAsia="Times New Roman" w:hAnsi="Times New Roman"/>
          <w:sz w:val="22"/>
          <w:szCs w:val="22"/>
          <w:color w:val="auto"/>
        </w:rPr>
        <w:t>. Neither Parent, nor any director, officer, agent, employee or other Person acting on behalf of Parent has, in the course of its actions for, or on behalf of, Parent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unlawful bribe, rebate, payoff, influence payment, kickback or other unlawful payment to any foreign or domestic government official or employee.</w:t>
      </w:r>
    </w:p>
    <w:p>
      <w:pPr>
        <w:spacing w:after="0" w:line="210" w:lineRule="exact"/>
        <w:rPr>
          <w:rFonts w:ascii="Times New Roman" w:cs="Times New Roman" w:eastAsia="Times New Roman" w:hAnsi="Times New Roman"/>
          <w:sz w:val="22"/>
          <w:szCs w:val="22"/>
          <w:color w:val="auto"/>
        </w:rPr>
      </w:pPr>
    </w:p>
    <w:p>
      <w:pPr>
        <w:ind w:firstLine="1304"/>
        <w:spacing w:after="0" w:line="238" w:lineRule="auto"/>
        <w:tabs>
          <w:tab w:leader="none" w:pos="2040"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Anti-Money Laundering Laws</w:t>
      </w:r>
      <w:r>
        <w:rPr>
          <w:rFonts w:ascii="Times New Roman" w:cs="Times New Roman" w:eastAsia="Times New Roman" w:hAnsi="Times New Roman"/>
          <w:sz w:val="22"/>
          <w:szCs w:val="22"/>
          <w:color w:val="auto"/>
        </w:rPr>
        <w:t>. The operations of Parent are and have been conducted at all times in compliance with applicable financial recordkeeping and reporting requirements and all other applicable U.S. and non-U.S. anti-money laundering Laws and regulations, including, but not limited to, Anti-Money Laundering Laws, and no action, suit or proceeding by or before any court or governmental agency, authority or body or any arbitrator involving Parent with respect to the Anti-Money Laundering Laws is pending or, to the knowledge of Parent, threatened.</w:t>
      </w:r>
    </w:p>
    <w:p>
      <w:pPr>
        <w:spacing w:after="0" w:line="203" w:lineRule="exact"/>
        <w:rPr>
          <w:rFonts w:ascii="Times New Roman" w:cs="Times New Roman" w:eastAsia="Times New Roman" w:hAnsi="Times New Roman"/>
          <w:sz w:val="22"/>
          <w:szCs w:val="22"/>
          <w:color w:val="auto"/>
        </w:rPr>
      </w:pPr>
    </w:p>
    <w:p>
      <w:pPr>
        <w:ind w:right="40" w:firstLine="1304"/>
        <w:spacing w:after="0" w:line="244" w:lineRule="auto"/>
        <w:tabs>
          <w:tab w:leader="none" w:pos="2040"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Litigation</w:t>
      </w:r>
      <w:r>
        <w:rPr>
          <w:rFonts w:ascii="Times New Roman" w:cs="Times New Roman" w:eastAsia="Times New Roman" w:hAnsi="Times New Roman"/>
          <w:sz w:val="22"/>
          <w:szCs w:val="22"/>
          <w:color w:val="auto"/>
        </w:rPr>
        <w:t>. There is no Action before or by any Governmental Authority or, to the Knowledge of Parent, threatened against or affecting Parent or any of Parent’s officers or directors, whether of a civil or criminal nature or otherwise, in their capacities as such.</w:t>
      </w:r>
    </w:p>
    <w:p>
      <w:pPr>
        <w:spacing w:after="0" w:line="200" w:lineRule="exact"/>
        <w:rPr>
          <w:rFonts w:ascii="Times New Roman" w:cs="Times New Roman" w:eastAsia="Times New Roman" w:hAnsi="Times New Roman"/>
          <w:sz w:val="22"/>
          <w:szCs w:val="22"/>
          <w:color w:val="auto"/>
        </w:rPr>
      </w:pPr>
    </w:p>
    <w:p>
      <w:pPr>
        <w:ind w:right="220" w:firstLine="1304"/>
        <w:spacing w:after="0" w:line="244" w:lineRule="auto"/>
        <w:tabs>
          <w:tab w:leader="none" w:pos="2088"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General Solicitation</w:t>
      </w:r>
      <w:r>
        <w:rPr>
          <w:rFonts w:ascii="Times New Roman" w:cs="Times New Roman" w:eastAsia="Times New Roman" w:hAnsi="Times New Roman"/>
          <w:sz w:val="22"/>
          <w:szCs w:val="22"/>
          <w:color w:val="auto"/>
        </w:rPr>
        <w:t>. Neither Parent, nor any of its officers, directors, employees, agents or shareholders has either directly or indirectly, including, through a broker or finder (i) engaged in any general solicitation, or (ii) published any advertisement in connection with the offer and sale of the Forward Purchase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56" w:name="page257"/>
    <w:bookmarkEnd w:id="256"/>
    <w:p>
      <w:pPr>
        <w:ind w:left="-656" w:right="120" w:firstLine="1304"/>
        <w:spacing w:after="0" w:line="235" w:lineRule="auto"/>
        <w:tabs>
          <w:tab w:leader="none" w:pos="1384" w:val="left"/>
        </w:tabs>
        <w:numPr>
          <w:ilvl w:val="1"/>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Representations and Warranties; Non-Reliance</w:t>
      </w:r>
      <w:r>
        <w:rPr>
          <w:rFonts w:ascii="Times New Roman" w:cs="Times New Roman" w:eastAsia="Times New Roman" w:hAnsi="Times New Roman"/>
          <w:sz w:val="22"/>
          <w:szCs w:val="22"/>
          <w:color w:val="auto"/>
        </w:rPr>
        <w:t xml:space="preserve">. Except for the specific representations and warranties contained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in any certificate or agreement delivered pursuant hereto, none of Parent Parties has made, makes or shall be deemed to make any other express or implied representation or warranty with respect to Parent, the transactions contemplated by the Merger Agreement or the offer and sale of the Forward Purchase Shares, and the Parent Parties disclaim any such representation or warranty. Except for the specific representations and warranties expressly made by the Purchasing Party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Agreement and in any certificate or agreement delivered pursuant hereto, the Parent Parties specifically disclaim that they are relying upon any other representations or warranties that may have been made by the Purchasing Party.</w:t>
      </w:r>
    </w:p>
    <w:p>
      <w:pPr>
        <w:spacing w:after="0" w:line="201" w:lineRule="exact"/>
        <w:rPr>
          <w:rFonts w:ascii="Times New Roman" w:cs="Times New Roman" w:eastAsia="Times New Roman" w:hAnsi="Times New Roman"/>
          <w:sz w:val="22"/>
          <w:szCs w:val="22"/>
          <w:color w:val="auto"/>
        </w:rPr>
      </w:pPr>
    </w:p>
    <w:p>
      <w:pPr>
        <w:ind w:left="704" w:hanging="704"/>
        <w:spacing w:after="0"/>
        <w:tabs>
          <w:tab w:leader="none" w:pos="704" w:val="left"/>
        </w:tabs>
        <w:numPr>
          <w:ilvl w:val="0"/>
          <w:numId w:val="3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 of the Company</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ind w:left="-656" w:right="120" w:firstLine="1304"/>
        <w:spacing w:after="0" w:line="235" w:lineRule="auto"/>
        <w:tabs>
          <w:tab w:leader="none" w:pos="1420"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The Company (i) represents and warrants to the Purchasing Party that, the representations and warranties of the Company in the Merger Agreement are true and correct as of the date hereof and will be true and correct as of the Closing Date (other than any such representation or warranty that is made by its terms as of a specified date, which shall be true and correct as of such specified date), in each case, other than as would not individually or in the aggregate reasonably be expected to have a Material Adverse Effect in respect of the Company and its Subsidiaries and (ii) acknowledges and agrees that the Purchasing Party is relying on the accuracy of such representations and warranties as set forth in the preceding clause (i).</w:t>
      </w:r>
    </w:p>
    <w:p>
      <w:pPr>
        <w:spacing w:after="0" w:line="210" w:lineRule="exact"/>
        <w:rPr>
          <w:rFonts w:ascii="Times New Roman" w:cs="Times New Roman" w:eastAsia="Times New Roman" w:hAnsi="Times New Roman"/>
          <w:sz w:val="22"/>
          <w:szCs w:val="22"/>
          <w:color w:val="auto"/>
        </w:rPr>
      </w:pPr>
    </w:p>
    <w:p>
      <w:pPr>
        <w:ind w:left="-656" w:right="20" w:firstLine="1304"/>
        <w:spacing w:after="0" w:line="247" w:lineRule="auto"/>
        <w:tabs>
          <w:tab w:leader="none" w:pos="1432" w:val="left"/>
        </w:tabs>
        <w:numPr>
          <w:ilvl w:val="1"/>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Other Representations and Warranties; Non-Reliance</w:t>
      </w:r>
      <w:r>
        <w:rPr>
          <w:rFonts w:ascii="Times New Roman" w:cs="Times New Roman" w:eastAsia="Times New Roman" w:hAnsi="Times New Roman"/>
          <w:sz w:val="21"/>
          <w:szCs w:val="21"/>
          <w:color w:val="auto"/>
        </w:rPr>
        <w:t>. Except for the specific representations and warranties contained in this Section 5 and in any certificate or agreement delivered pursuant hereto, neither the Company nor any person acting on behalf of the Company nor any of the Company’s affiliates (the “</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has made, makes or shall be deemed to make any other express or implied representation or warranty with respect to the Company, the transactions contemplated by the Merger Agreement or the offer and sale of the Forward Purchase Shares, and the Company Group disclaims any such representation or warranty. Except for the specific representations and warranties expressly made by the Purchasing Party in Section 3 of this Agreement and in any certificate or agreement delivered pursuant hereto, the Company specifically disclaims that it is relying upon any other representations or warranties that may have been made by the Purchasing Party</w:t>
      </w:r>
    </w:p>
    <w:p>
      <w:pPr>
        <w:spacing w:after="0" w:line="194" w:lineRule="exact"/>
        <w:rPr>
          <w:rFonts w:ascii="Times New Roman" w:cs="Times New Roman" w:eastAsia="Times New Roman" w:hAnsi="Times New Roman"/>
          <w:sz w:val="21"/>
          <w:szCs w:val="21"/>
          <w:color w:val="auto"/>
        </w:rPr>
      </w:pPr>
    </w:p>
    <w:p>
      <w:pPr>
        <w:ind w:left="704" w:hanging="704"/>
        <w:spacing w:after="0"/>
        <w:tabs>
          <w:tab w:leader="none" w:pos="704" w:val="left"/>
        </w:tabs>
        <w:numPr>
          <w:ilvl w:val="0"/>
          <w:numId w:val="3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Agreements, Acknowledgements and Waivers of the Purchasing Party.</w:t>
      </w:r>
    </w:p>
    <w:p>
      <w:pPr>
        <w:spacing w:after="0" w:line="237" w:lineRule="exact"/>
        <w:rPr>
          <w:rFonts w:ascii="Times New Roman" w:cs="Times New Roman" w:eastAsia="Times New Roman" w:hAnsi="Times New Roman"/>
          <w:sz w:val="22"/>
          <w:szCs w:val="22"/>
          <w:b w:val="1"/>
          <w:bCs w:val="1"/>
          <w:color w:val="auto"/>
        </w:rPr>
      </w:pPr>
    </w:p>
    <w:p>
      <w:pPr>
        <w:ind w:left="-656" w:right="20" w:firstLine="1304"/>
        <w:spacing w:after="0" w:line="234" w:lineRule="auto"/>
        <w:tabs>
          <w:tab w:leader="none" w:pos="1420"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Reference is made to the final prospectus of Parent, dated August 3, 2020 (the “</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The Purchasing Party has read the Prospectus and understands that Parent has established the Trust Account for the benefit of the public Parent Shareholders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the Company and the Purchasing Party for itself and on behalf of its securityholders, hereby agrees that it does not now and shall not at any time hereafter have any right, title, interest or claim of any kind in or to any monies in the Trust Account as a result of, or arising out of, any negotiations, contracts or agreements with Parent and hereby agrees that it will not seek recourse against the Trust Account for any reason.</w:t>
      </w:r>
    </w:p>
    <w:p>
      <w:pPr>
        <w:spacing w:after="0" w:line="210" w:lineRule="exact"/>
        <w:rPr>
          <w:rFonts w:ascii="Times New Roman" w:cs="Times New Roman" w:eastAsia="Times New Roman" w:hAnsi="Times New Roman"/>
          <w:sz w:val="22"/>
          <w:szCs w:val="22"/>
          <w:color w:val="auto"/>
        </w:rPr>
      </w:pPr>
    </w:p>
    <w:p>
      <w:pPr>
        <w:ind w:left="-656" w:firstLine="1304"/>
        <w:spacing w:after="0" w:line="235" w:lineRule="auto"/>
        <w:tabs>
          <w:tab w:leader="none" w:pos="1432"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Short Sales</w:t>
      </w:r>
      <w:r>
        <w:rPr>
          <w:rFonts w:ascii="Times New Roman" w:cs="Times New Roman" w:eastAsia="Times New Roman" w:hAnsi="Times New Roman"/>
          <w:sz w:val="22"/>
          <w:szCs w:val="22"/>
          <w:color w:val="auto"/>
        </w:rPr>
        <w:t xml:space="preserve">. The Purchasing Party hereby agrees that neither it, nor any person or entity acting on its behalf or pursuant to any understanding with it, will engage in any Short Sales with respect to securities of Parent prior to the Merger Closing. For purposes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w:t>
      </w:r>
    </w:p>
    <w:p>
      <w:pPr>
        <w:spacing w:after="0" w:line="210" w:lineRule="exact"/>
        <w:rPr>
          <w:rFonts w:ascii="Times New Roman" w:cs="Times New Roman" w:eastAsia="Times New Roman" w:hAnsi="Times New Roman"/>
          <w:sz w:val="22"/>
          <w:szCs w:val="22"/>
          <w:color w:val="auto"/>
        </w:rPr>
      </w:pPr>
    </w:p>
    <w:p>
      <w:pPr>
        <w:ind w:left="-656" w:right="60" w:firstLine="1304"/>
        <w:spacing w:after="0" w:line="245" w:lineRule="auto"/>
        <w:tabs>
          <w:tab w:leader="none" w:pos="1420" w:val="left"/>
        </w:tabs>
        <w:numPr>
          <w:ilvl w:val="1"/>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Redemption</w:t>
      </w:r>
      <w:r>
        <w:rPr>
          <w:rFonts w:ascii="Times New Roman" w:cs="Times New Roman" w:eastAsia="Times New Roman" w:hAnsi="Times New Roman"/>
          <w:sz w:val="21"/>
          <w:szCs w:val="21"/>
          <w:color w:val="auto"/>
        </w:rPr>
        <w:t xml:space="preserve">. Until the Merger Closing, the Purchasing Party hereby irrevocably and unconditionally agrees not to redeem, elect to redeem or tender or submit any Subject Securities in connection with (i) the Merger or any other transactions contemplated by the Merger Agreement or (ii) any proposal to amend Parent’s organizational documents to extend the period of time that Parent is afforded thereunder and its prospectus to consummate an initial business combination, including any vote at any meeting of the shareholders of Parent (whether annual or special and whether or not an adjourned or postponed meeting however called and including any adjournment or postponement thereof) or any action by written resolution of the shareholders of Parent with respect to the foregoing, and any attempt to redeem such Subject Securities will be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 xml:space="preserve"> and of no effect. For purposes of this Agreement, “</w:t>
      </w:r>
      <w:r>
        <w:rPr>
          <w:rFonts w:ascii="Times New Roman" w:cs="Times New Roman" w:eastAsia="Times New Roman" w:hAnsi="Times New Roman"/>
          <w:sz w:val="21"/>
          <w:szCs w:val="21"/>
          <w:u w:val="single" w:color="auto"/>
          <w:color w:val="auto"/>
        </w:rPr>
        <w:t>Subject Securities</w:t>
      </w:r>
      <w:r>
        <w:rPr>
          <w:rFonts w:ascii="Times New Roman" w:cs="Times New Roman" w:eastAsia="Times New Roman" w:hAnsi="Times New Roman"/>
          <w:sz w:val="21"/>
          <w:szCs w:val="21"/>
          <w:color w:val="auto"/>
        </w:rPr>
        <w:t>” means all of Purchasing Party’s Parent Ordinary Shares and any other equity securities of Parent that the Purchasing Party holds of record or beneficially as of the date of this Agreement or acquires record or beneficial ownership after the date hereof, including any (i) Market Transaction Shares and (ii) Parent Warrants or other securities convertible into or exercisable or exchangeable for Parent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104140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12" w:right="359" w:bottom="1440" w:gutter="0" w:footer="0" w:header="0"/>
        </w:sectPr>
      </w:pPr>
    </w:p>
    <w:bookmarkStart w:id="257" w:name="page258"/>
    <w:bookmarkEnd w:id="257"/>
    <w:p>
      <w:pPr>
        <w:ind w:left="1360" w:hanging="704"/>
        <w:spacing w:after="0"/>
        <w:tabs>
          <w:tab w:leader="none" w:pos="1360" w:val="left"/>
        </w:tabs>
        <w:numPr>
          <w:ilvl w:val="0"/>
          <w:numId w:val="3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 Purchase Closing Conditions.</w:t>
      </w:r>
    </w:p>
    <w:p>
      <w:pPr>
        <w:spacing w:after="0" w:line="237" w:lineRule="exact"/>
        <w:rPr>
          <w:rFonts w:ascii="Times New Roman" w:cs="Times New Roman" w:eastAsia="Times New Roman" w:hAnsi="Times New Roman"/>
          <w:sz w:val="22"/>
          <w:szCs w:val="22"/>
          <w:b w:val="1"/>
          <w:bCs w:val="1"/>
          <w:color w:val="auto"/>
        </w:rPr>
      </w:pPr>
    </w:p>
    <w:p>
      <w:pPr>
        <w:ind w:right="200" w:firstLine="1304"/>
        <w:spacing w:after="0" w:line="239" w:lineRule="auto"/>
        <w:tabs>
          <w:tab w:leader="none" w:pos="2072"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each of the Purchasing Party to consummate the Share Purchase Closing is subject to the fulfillment, at or prior to the Share Purchase Closing of each of the following conditions, any of which, to the extent permitted by applicable Laws, may be waived by the Purchasing Party (or, with respect to clauses (ii) and (iii), the Company on its behalf), as applicable:</w:t>
      </w:r>
    </w:p>
    <w:p>
      <w:pPr>
        <w:spacing w:after="0" w:line="207" w:lineRule="exact"/>
        <w:rPr>
          <w:rFonts w:ascii="Times New Roman" w:cs="Times New Roman" w:eastAsia="Times New Roman" w:hAnsi="Times New Roman"/>
          <w:sz w:val="22"/>
          <w:szCs w:val="22"/>
          <w:color w:val="auto"/>
        </w:rPr>
      </w:pPr>
    </w:p>
    <w:p>
      <w:pPr>
        <w:ind w:firstLine="1951"/>
        <w:spacing w:after="0" w:line="247" w:lineRule="auto"/>
        <w:tabs>
          <w:tab w:leader="none" w:pos="2683" w:val="left"/>
        </w:tabs>
        <w:numPr>
          <w:ilvl w:val="2"/>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conditions set forth in Article X of the Merger Agreement (other than those conditions that by their nature are to be satisfied by (i) actions taken at the Merger Closing; provided that each such condition is then capable of being satisfied at the Merger Closing on such date and (ii) the consummation of the transactions contemplated by this Agreement) have been satisfied or waived (provided that, for purposes of this Agreement, the conditions set forth in Sections 10.3(h) and</w:t>
      </w:r>
    </w:p>
    <w:p>
      <w:pPr>
        <w:spacing w:after="0" w:line="1" w:lineRule="exact"/>
        <w:rPr>
          <w:rFonts w:ascii="Times New Roman" w:cs="Times New Roman" w:eastAsia="Times New Roman" w:hAnsi="Times New Roman"/>
          <w:sz w:val="21"/>
          <w:szCs w:val="21"/>
          <w:color w:val="auto"/>
        </w:rPr>
      </w:pPr>
    </w:p>
    <w:p>
      <w:pPr>
        <w:ind w:right="4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10.3(j) in the Merger Agreement may not be waived without the written consent of the Purchasing Party), and the Company and Parent have confirmed to the Purchasing Party in writing that the Company and Parent are ready, willing and able to consummate the Transactions;</w:t>
      </w:r>
    </w:p>
    <w:p>
      <w:pPr>
        <w:spacing w:after="0" w:line="204" w:lineRule="exact"/>
        <w:rPr>
          <w:rFonts w:ascii="Times New Roman" w:cs="Times New Roman" w:eastAsia="Times New Roman" w:hAnsi="Times New Roman"/>
          <w:sz w:val="21"/>
          <w:szCs w:val="21"/>
          <w:color w:val="auto"/>
        </w:rPr>
      </w:pPr>
    </w:p>
    <w:p>
      <w:pPr>
        <w:ind w:right="40" w:firstLine="1952"/>
        <w:spacing w:after="0" w:line="236" w:lineRule="auto"/>
        <w:tabs>
          <w:tab w:leader="none" w:pos="2744" w:val="left"/>
        </w:tabs>
        <w:numPr>
          <w:ilvl w:val="2"/>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Parent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have been true and correct as of the date hereof and shall be true and correct as of the Share Purchase Closing,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Parent’s ability to consummate the transactions contemplated by this Agreement;</w:t>
      </w:r>
    </w:p>
    <w:p>
      <w:pPr>
        <w:spacing w:after="0" w:line="208" w:lineRule="exact"/>
        <w:rPr>
          <w:rFonts w:ascii="Times New Roman" w:cs="Times New Roman" w:eastAsia="Times New Roman" w:hAnsi="Times New Roman"/>
          <w:sz w:val="22"/>
          <w:szCs w:val="22"/>
          <w:color w:val="auto"/>
        </w:rPr>
      </w:pPr>
    </w:p>
    <w:p>
      <w:pPr>
        <w:ind w:right="220" w:firstLine="1952"/>
        <w:spacing w:after="0" w:line="244" w:lineRule="auto"/>
        <w:tabs>
          <w:tab w:leader="none" w:pos="2808" w:val="left"/>
        </w:tabs>
        <w:numPr>
          <w:ilvl w:val="2"/>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shall have performed, satisfied and complied in all material respects with the covenants, agreements and conditions required by this Agreement to be performed, satisfied or complied with by Parent, at or prior to the Share Purchase Closing; and</w:t>
      </w:r>
    </w:p>
    <w:p>
      <w:pPr>
        <w:spacing w:after="0" w:line="200" w:lineRule="exact"/>
        <w:rPr>
          <w:rFonts w:ascii="Times New Roman" w:cs="Times New Roman" w:eastAsia="Times New Roman" w:hAnsi="Times New Roman"/>
          <w:sz w:val="22"/>
          <w:szCs w:val="22"/>
          <w:color w:val="auto"/>
        </w:rPr>
      </w:pPr>
    </w:p>
    <w:p>
      <w:pPr>
        <w:jc w:val="both"/>
        <w:ind w:right="120" w:firstLine="1951"/>
        <w:spacing w:after="0" w:line="261" w:lineRule="auto"/>
        <w:tabs>
          <w:tab w:leader="none" w:pos="2795" w:val="left"/>
        </w:tabs>
        <w:numPr>
          <w:ilvl w:val="2"/>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the Purchasing Party of the Forward Purchase Shares.</w:t>
      </w:r>
    </w:p>
    <w:p>
      <w:pPr>
        <w:spacing w:after="0" w:line="184" w:lineRule="exact"/>
        <w:rPr>
          <w:rFonts w:ascii="Times New Roman" w:cs="Times New Roman" w:eastAsia="Times New Roman" w:hAnsi="Times New Roman"/>
          <w:sz w:val="21"/>
          <w:szCs w:val="21"/>
          <w:color w:val="auto"/>
        </w:rPr>
      </w:pPr>
    </w:p>
    <w:p>
      <w:pPr>
        <w:ind w:right="500" w:firstLine="1951"/>
        <w:spacing w:after="0" w:line="244" w:lineRule="auto"/>
        <w:tabs>
          <w:tab w:leader="none" w:pos="2735" w:val="left"/>
        </w:tabs>
        <w:numPr>
          <w:ilvl w:val="2"/>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the Merger Agreement, there shall not have occurred any Material Adverse Effect pursuant to clause (a) of the definition thereof in the Merger Agreement in respect of the Company Group that is continuing.</w:t>
      </w:r>
    </w:p>
    <w:p>
      <w:pPr>
        <w:spacing w:after="0" w:line="200" w:lineRule="exact"/>
        <w:rPr>
          <w:rFonts w:ascii="Times New Roman" w:cs="Times New Roman" w:eastAsia="Times New Roman" w:hAnsi="Times New Roman"/>
          <w:sz w:val="22"/>
          <w:szCs w:val="22"/>
          <w:color w:val="auto"/>
        </w:rPr>
      </w:pPr>
    </w:p>
    <w:p>
      <w:pPr>
        <w:ind w:firstLine="1303"/>
        <w:spacing w:after="0" w:line="244" w:lineRule="auto"/>
        <w:tabs>
          <w:tab w:leader="none" w:pos="2083"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Parent to consummate the Share Purchase Closing is subject to the fulfillment, at or prior to the Share Purchase Closing of each of the following conditions, any of which, to the extent permitted by applicable Laws, may be waived by Parent (or, with respect to clauses (ii) and (iii), the Company on their behalf):</w:t>
      </w:r>
    </w:p>
    <w:p>
      <w:pPr>
        <w:spacing w:after="0" w:line="200" w:lineRule="exact"/>
        <w:rPr>
          <w:rFonts w:ascii="Times New Roman" w:cs="Times New Roman" w:eastAsia="Times New Roman" w:hAnsi="Times New Roman"/>
          <w:sz w:val="22"/>
          <w:szCs w:val="22"/>
          <w:color w:val="auto"/>
        </w:rPr>
      </w:pPr>
    </w:p>
    <w:p>
      <w:pPr>
        <w:ind w:right="40" w:firstLine="1951"/>
        <w:spacing w:after="0" w:line="238" w:lineRule="auto"/>
        <w:tabs>
          <w:tab w:leader="none" w:pos="2683" w:val="left"/>
        </w:tabs>
        <w:numPr>
          <w:ilvl w:val="2"/>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conditions set forth in Article X of the Merger Agreement (other than those conditions that by their nature are to be satisfied by actions taken at the Merger Closing; provided that each such condition is then capable of being satisfied at the Merger Closing on such date) to Parent’s obligations to consummate the Merger Closing have been satisfied or waived, and the Company has confirmed to Parent in writing that the Company is ready, willing and able to consummate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8" w:name="page259"/>
    <w:bookmarkEnd w:id="258"/>
    <w:p>
      <w:pPr>
        <w:ind w:firstLine="1952"/>
        <w:spacing w:after="0" w:line="236" w:lineRule="auto"/>
        <w:tabs>
          <w:tab w:leader="none" w:pos="2744"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Purchasing Party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shall have been true and correct as of the date hereof and shall be true and correct as of the Share Purchase Closing,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the Purchasing Party or its ability to consummate the transactions contemplated by this Agreement;</w:t>
      </w:r>
    </w:p>
    <w:p>
      <w:pPr>
        <w:spacing w:after="0" w:line="208" w:lineRule="exact"/>
        <w:rPr>
          <w:rFonts w:ascii="Times New Roman" w:cs="Times New Roman" w:eastAsia="Times New Roman" w:hAnsi="Times New Roman"/>
          <w:sz w:val="22"/>
          <w:szCs w:val="22"/>
          <w:color w:val="auto"/>
        </w:rPr>
      </w:pPr>
    </w:p>
    <w:p>
      <w:pPr>
        <w:ind w:right="120" w:firstLine="1952"/>
        <w:spacing w:after="0" w:line="244" w:lineRule="auto"/>
        <w:tabs>
          <w:tab w:leader="none" w:pos="2804"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Purchasing Party shall have performed, satisfied and complied in all material respects with the covenants, agreements and conditions required by this Agreement to be performed, satisfied or complied with by the Purchasing Party at or prior to the Share Purchase Closing; and</w:t>
      </w:r>
    </w:p>
    <w:p>
      <w:pPr>
        <w:spacing w:after="0" w:line="200" w:lineRule="exact"/>
        <w:rPr>
          <w:rFonts w:ascii="Times New Roman" w:cs="Times New Roman" w:eastAsia="Times New Roman" w:hAnsi="Times New Roman"/>
          <w:sz w:val="22"/>
          <w:szCs w:val="22"/>
          <w:color w:val="auto"/>
        </w:rPr>
      </w:pPr>
    </w:p>
    <w:p>
      <w:pPr>
        <w:jc w:val="both"/>
        <w:ind w:right="40" w:firstLine="1951"/>
        <w:spacing w:after="0" w:line="261" w:lineRule="auto"/>
        <w:tabs>
          <w:tab w:leader="none" w:pos="2795" w:val="left"/>
        </w:tabs>
        <w:numPr>
          <w:ilvl w:val="1"/>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the Purchasing Party of the Forward Purchase Shares.</w:t>
      </w:r>
    </w:p>
    <w:p>
      <w:pPr>
        <w:spacing w:after="0" w:line="184" w:lineRule="exact"/>
        <w:rPr>
          <w:rFonts w:ascii="Times New Roman" w:cs="Times New Roman" w:eastAsia="Times New Roman" w:hAnsi="Times New Roman"/>
          <w:sz w:val="21"/>
          <w:szCs w:val="21"/>
          <w:color w:val="auto"/>
        </w:rPr>
      </w:pPr>
    </w:p>
    <w:p>
      <w:pPr>
        <w:ind w:right="80" w:firstLine="1951"/>
        <w:spacing w:after="0" w:line="244" w:lineRule="auto"/>
        <w:tabs>
          <w:tab w:leader="none" w:pos="2735"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shall have received evidence reasonably satisfactory of (i) the Purchasing Party’s ownership of the Market Transaction Shares and purchase thereof following the date hereof and (ii) the aggregate dollar amount paid by the Purchasing Party to purchase the Market Transaction Shares.</w:t>
      </w:r>
    </w:p>
    <w:p>
      <w:pPr>
        <w:spacing w:after="0" w:line="196"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3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w:t>
      </w:r>
      <w:r>
        <w:rPr>
          <w:rFonts w:ascii="Times New Roman" w:cs="Times New Roman" w:eastAsia="Times New Roman" w:hAnsi="Times New Roman"/>
          <w:sz w:val="22"/>
          <w:szCs w:val="22"/>
          <w:color w:val="auto"/>
        </w:rPr>
        <w:t>This Agreement may be terminated at any time prior to the Share Purchase Closing:</w:t>
      </w:r>
    </w:p>
    <w:p>
      <w:pPr>
        <w:spacing w:after="0" w:line="246" w:lineRule="exact"/>
        <w:rPr>
          <w:rFonts w:ascii="Times New Roman" w:cs="Times New Roman" w:eastAsia="Times New Roman" w:hAnsi="Times New Roman"/>
          <w:sz w:val="22"/>
          <w:szCs w:val="22"/>
          <w:b w:val="1"/>
          <w:bCs w:val="1"/>
          <w:color w:val="auto"/>
        </w:rPr>
      </w:pPr>
    </w:p>
    <w:p>
      <w:pPr>
        <w:ind w:left="3020" w:hanging="650"/>
        <w:spacing w:after="0"/>
        <w:tabs>
          <w:tab w:leader="none" w:pos="3020"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parties hereto; or</w:t>
      </w:r>
    </w:p>
    <w:p>
      <w:pPr>
        <w:spacing w:after="0" w:line="252" w:lineRule="exact"/>
        <w:rPr>
          <w:rFonts w:ascii="Times New Roman" w:cs="Times New Roman" w:eastAsia="Times New Roman" w:hAnsi="Times New Roman"/>
          <w:sz w:val="18"/>
          <w:szCs w:val="18"/>
          <w:color w:val="auto"/>
        </w:rPr>
      </w:pPr>
    </w:p>
    <w:p>
      <w:pPr>
        <w:ind w:left="3020" w:hanging="650"/>
        <w:spacing w:after="0"/>
        <w:tabs>
          <w:tab w:leader="none" w:pos="3020"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the termination of the Merger Agreement in accordance with its terms.</w:t>
      </w:r>
    </w:p>
    <w:p>
      <w:pPr>
        <w:spacing w:after="0" w:line="243"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In the event of any termination of this Agreement pursuant to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this Agreement shall forthwith become null and void and have no effect, without any liability on the part of any party hereto and their respective directors, officers, employees, partners, managers, members, or shareholders and all rights and obligations of each party shall cease;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nothing contained in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shall relieve either Parent or the Purchasing Party from liabilities or damages arising out of any fraud or willful breach by such party of any of its representations, warranties, covenants or agreements contained in this Agreement.</w:t>
      </w:r>
    </w:p>
    <w:p>
      <w:pPr>
        <w:spacing w:after="0" w:line="204" w:lineRule="exact"/>
        <w:rPr>
          <w:sz w:val="20"/>
          <w:szCs w:val="20"/>
          <w:color w:val="auto"/>
        </w:rPr>
      </w:pPr>
    </w:p>
    <w:p>
      <w:pPr>
        <w:ind w:left="1360" w:hanging="704"/>
        <w:spacing w:after="0"/>
        <w:tabs>
          <w:tab w:leader="none" w:pos="1360" w:val="left"/>
        </w:tabs>
        <w:numPr>
          <w:ilvl w:val="0"/>
          <w:numId w:val="3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37" w:lineRule="exact"/>
        <w:rPr>
          <w:rFonts w:ascii="Times New Roman" w:cs="Times New Roman" w:eastAsia="Times New Roman" w:hAnsi="Times New Roman"/>
          <w:sz w:val="22"/>
          <w:szCs w:val="22"/>
          <w:b w:val="1"/>
          <w:bCs w:val="1"/>
          <w:color w:val="auto"/>
        </w:rPr>
      </w:pPr>
    </w:p>
    <w:p>
      <w:pPr>
        <w:ind w:firstLine="1304"/>
        <w:spacing w:after="0" w:line="244" w:lineRule="auto"/>
        <w:tabs>
          <w:tab w:leader="none" w:pos="2076"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Representations</w:t>
      </w:r>
      <w:r>
        <w:rPr>
          <w:rFonts w:ascii="Times New Roman" w:cs="Times New Roman" w:eastAsia="Times New Roman" w:hAnsi="Times New Roman"/>
          <w:sz w:val="22"/>
          <w:szCs w:val="22"/>
          <w:color w:val="auto"/>
        </w:rPr>
        <w:t>. Subject to the limitations and other provisions of this Agreement, the representations and warranties contained herein shall survive the Share Purchase Closing and shall remain in full force and effect until the first anniversary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259" w:name="page260"/>
    <w:bookmarkEnd w:id="259"/>
    <w:p>
      <w:pPr>
        <w:ind w:left="2100" w:hanging="796"/>
        <w:spacing w:after="0"/>
        <w:tabs>
          <w:tab w:leader="none" w:pos="2100" w:val="left"/>
        </w:tabs>
        <w:numPr>
          <w:ilvl w:val="0"/>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hereunder shall be sent in writing, addressed as specified below, and shall be deemed</w:t>
      </w:r>
    </w:p>
    <w:p>
      <w:pPr>
        <w:spacing w:after="0" w:line="26" w:lineRule="exact"/>
        <w:rPr>
          <w:rFonts w:ascii="Times New Roman" w:cs="Times New Roman" w:eastAsia="Times New Roman" w:hAnsi="Times New Roman"/>
          <w:sz w:val="21"/>
          <w:szCs w:val="21"/>
          <w:color w:val="auto"/>
        </w:rPr>
      </w:pPr>
    </w:p>
    <w:p>
      <w:pPr>
        <w:ind w:right="2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given: (i) if by hand, electronic mail or nationally recognized overnight courier service, by 5:00 PM Pacific Time on a Business Day, addressee’s day and time, on the date of delivery, and if delivered after 5:00 PM Eastern Time, on the first Business Day after such delivery; (ii) if by email, on the date of transmission with affirmative confirmation of receipt; or (iii)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Parent,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Health Sciences Acquisitions Corporation 2</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RTW Investments, LP</w:t>
      </w:r>
    </w:p>
    <w:p>
      <w:pPr>
        <w:ind w:left="1300"/>
        <w:spacing w:after="0" w:line="230" w:lineRule="auto"/>
        <w:rPr>
          <w:sz w:val="20"/>
          <w:szCs w:val="20"/>
          <w:color w:val="auto"/>
        </w:rPr>
      </w:pPr>
      <w:r>
        <w:rPr>
          <w:rFonts w:ascii="Times New Roman" w:cs="Times New Roman" w:eastAsia="Times New Roman" w:hAnsi="Times New Roman"/>
          <w:sz w:val="22"/>
          <w:szCs w:val="22"/>
          <w:color w:val="auto"/>
        </w:rPr>
        <w:t>40 10th Avenue, Floor 7</w:t>
      </w:r>
    </w:p>
    <w:p>
      <w:pPr>
        <w:ind w:left="1300"/>
        <w:spacing w:after="0" w:line="231" w:lineRule="auto"/>
        <w:rPr>
          <w:sz w:val="20"/>
          <w:szCs w:val="20"/>
          <w:color w:val="auto"/>
        </w:rPr>
      </w:pPr>
      <w:r>
        <w:rPr>
          <w:rFonts w:ascii="Times New Roman" w:cs="Times New Roman" w:eastAsia="Times New Roman" w:hAnsi="Times New Roman"/>
          <w:sz w:val="22"/>
          <w:szCs w:val="22"/>
          <w:color w:val="auto"/>
        </w:rPr>
        <w:t>New York, New York 10014</w:t>
      </w:r>
    </w:p>
    <w:p>
      <w:pPr>
        <w:ind w:left="1300"/>
        <w:spacing w:after="0" w:line="230" w:lineRule="auto"/>
        <w:rPr>
          <w:sz w:val="20"/>
          <w:szCs w:val="20"/>
          <w:color w:val="auto"/>
        </w:rPr>
      </w:pPr>
      <w:r>
        <w:rPr>
          <w:rFonts w:ascii="Times New Roman" w:cs="Times New Roman" w:eastAsia="Times New Roman" w:hAnsi="Times New Roman"/>
          <w:sz w:val="22"/>
          <w:szCs w:val="22"/>
          <w:color w:val="auto"/>
        </w:rPr>
        <w:t>Attn: Legal Department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al@hsac2.com, gd@hsac2.com</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with a copy to Parent’s counsel (which shall not constitute notice) to</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Loeb &amp; Loeb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345 Park Ave</w:t>
      </w:r>
    </w:p>
    <w:p>
      <w:pPr>
        <w:ind w:left="1300"/>
        <w:spacing w:after="0" w:line="230" w:lineRule="auto"/>
        <w:rPr>
          <w:sz w:val="20"/>
          <w:szCs w:val="20"/>
          <w:color w:val="auto"/>
        </w:rPr>
      </w:pPr>
      <w:r>
        <w:rPr>
          <w:rFonts w:ascii="Times New Roman" w:cs="Times New Roman" w:eastAsia="Times New Roman" w:hAnsi="Times New Roman"/>
          <w:sz w:val="22"/>
          <w:szCs w:val="22"/>
          <w:color w:val="auto"/>
        </w:rPr>
        <w:t>New York, NY 10154</w:t>
      </w:r>
    </w:p>
    <w:p>
      <w:pPr>
        <w:ind w:left="1300"/>
        <w:spacing w:after="0" w:line="231" w:lineRule="auto"/>
        <w:rPr>
          <w:sz w:val="20"/>
          <w:szCs w:val="20"/>
          <w:color w:val="auto"/>
        </w:rPr>
      </w:pPr>
      <w:r>
        <w:rPr>
          <w:rFonts w:ascii="Times New Roman" w:cs="Times New Roman" w:eastAsia="Times New Roman" w:hAnsi="Times New Roman"/>
          <w:sz w:val="22"/>
          <w:szCs w:val="22"/>
          <w:color w:val="auto"/>
        </w:rPr>
        <w:t>Attention: Giovanni Caruso</w:t>
      </w:r>
    </w:p>
    <w:p>
      <w:pPr>
        <w:ind w:left="1300"/>
        <w:spacing w:after="0" w:line="230" w:lineRule="auto"/>
        <w:rPr>
          <w:sz w:val="20"/>
          <w:szCs w:val="20"/>
          <w:color w:val="auto"/>
        </w:rPr>
      </w:pPr>
      <w:r>
        <w:rPr>
          <w:rFonts w:ascii="Times New Roman" w:cs="Times New Roman" w:eastAsia="Times New Roman" w:hAnsi="Times New Roman"/>
          <w:sz w:val="22"/>
          <w:szCs w:val="22"/>
          <w:color w:val="auto"/>
        </w:rPr>
        <w:t>E-mail: gcaruso@loeb.com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All communications sent to the Company shall be sent to:</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Orchestra BioMed, Inc.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150 Union Square Drive</w:t>
      </w:r>
    </w:p>
    <w:p>
      <w:pPr>
        <w:ind w:left="1300"/>
        <w:spacing w:after="0" w:line="230" w:lineRule="auto"/>
        <w:rPr>
          <w:sz w:val="20"/>
          <w:szCs w:val="20"/>
          <w:color w:val="auto"/>
        </w:rPr>
      </w:pPr>
      <w:r>
        <w:rPr>
          <w:rFonts w:ascii="Times New Roman" w:cs="Times New Roman" w:eastAsia="Times New Roman" w:hAnsi="Times New Roman"/>
          <w:sz w:val="22"/>
          <w:szCs w:val="22"/>
          <w:color w:val="auto"/>
        </w:rPr>
        <w:t>New Hope PA 18938</w:t>
      </w:r>
    </w:p>
    <w:p>
      <w:pPr>
        <w:ind w:left="1300"/>
        <w:spacing w:after="0" w:line="231" w:lineRule="auto"/>
        <w:rPr>
          <w:sz w:val="20"/>
          <w:szCs w:val="20"/>
          <w:color w:val="auto"/>
        </w:rPr>
      </w:pPr>
      <w:r>
        <w:rPr>
          <w:rFonts w:ascii="Times New Roman" w:cs="Times New Roman" w:eastAsia="Times New Roman" w:hAnsi="Times New Roman"/>
          <w:sz w:val="22"/>
          <w:szCs w:val="22"/>
          <w:color w:val="auto"/>
        </w:rPr>
        <w:t>Attn; David Hochman, Chairman &amp; CEO</w:t>
      </w:r>
    </w:p>
    <w:p>
      <w:pPr>
        <w:ind w:left="1300"/>
        <w:spacing w:after="0"/>
        <w:rPr>
          <w:sz w:val="20"/>
          <w:szCs w:val="20"/>
          <w:color w:val="auto"/>
        </w:rPr>
      </w:pPr>
      <w:r>
        <w:rPr>
          <w:rFonts w:ascii="Times New Roman" w:cs="Times New Roman" w:eastAsia="Times New Roman" w:hAnsi="Times New Roman"/>
          <w:sz w:val="22"/>
          <w:szCs w:val="22"/>
          <w:color w:val="auto"/>
        </w:rPr>
        <w:t>E-mail: DHochman@orchestrabiomed.com</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with a copy to the Company’s counsel (which shall not constitute notice) to:</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Paul Hastings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200 Park Avenue</w:t>
      </w:r>
    </w:p>
    <w:p>
      <w:pPr>
        <w:ind w:left="1300"/>
        <w:spacing w:after="0" w:line="230" w:lineRule="auto"/>
        <w:rPr>
          <w:sz w:val="20"/>
          <w:szCs w:val="20"/>
          <w:color w:val="auto"/>
        </w:rPr>
      </w:pPr>
      <w:r>
        <w:rPr>
          <w:rFonts w:ascii="Times New Roman" w:cs="Times New Roman" w:eastAsia="Times New Roman" w:hAnsi="Times New Roman"/>
          <w:sz w:val="22"/>
          <w:szCs w:val="22"/>
          <w:color w:val="auto"/>
        </w:rPr>
        <w:t>New York, New York 10166</w:t>
      </w:r>
    </w:p>
    <w:p>
      <w:pPr>
        <w:ind w:left="1300"/>
        <w:spacing w:after="0" w:line="231" w:lineRule="auto"/>
        <w:rPr>
          <w:sz w:val="20"/>
          <w:szCs w:val="20"/>
          <w:color w:val="auto"/>
        </w:rPr>
      </w:pPr>
      <w:r>
        <w:rPr>
          <w:rFonts w:ascii="Times New Roman" w:cs="Times New Roman" w:eastAsia="Times New Roman" w:hAnsi="Times New Roman"/>
          <w:sz w:val="22"/>
          <w:szCs w:val="22"/>
          <w:color w:val="auto"/>
        </w:rPr>
        <w:t>Attn: Samuel A. Waxman</w:t>
      </w:r>
    </w:p>
    <w:p>
      <w:pPr>
        <w:ind w:left="1300"/>
        <w:spacing w:after="0"/>
        <w:rPr>
          <w:sz w:val="20"/>
          <w:szCs w:val="20"/>
          <w:color w:val="auto"/>
        </w:rPr>
      </w:pPr>
      <w:r>
        <w:rPr>
          <w:rFonts w:ascii="Times New Roman" w:cs="Times New Roman" w:eastAsia="Times New Roman" w:hAnsi="Times New Roman"/>
          <w:sz w:val="22"/>
          <w:szCs w:val="22"/>
          <w:color w:val="auto"/>
        </w:rPr>
        <w:t>E-mail: samuelwaxman@paulhastings.com</w:t>
      </w:r>
    </w:p>
    <w:p>
      <w:pPr>
        <w:spacing w:after="0" w:line="209"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 xml:space="preserve">All communications to the Purchasing Party shall be sent to the Purchasing Party’s address as set forth on the signature page hereof, or to such e-mail address, facsimile number (if any) or address as subsequently modified by written notice given in accordance with this </w:t>
      </w:r>
      <w:r>
        <w:rPr>
          <w:rFonts w:ascii="Times New Roman" w:cs="Times New Roman" w:eastAsia="Times New Roman" w:hAnsi="Times New Roman"/>
          <w:sz w:val="22"/>
          <w:szCs w:val="22"/>
          <w:u w:val="single" w:color="auto"/>
          <w:color w:val="auto"/>
        </w:rPr>
        <w:t>Section 9(b)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left="2080" w:hanging="776"/>
        <w:spacing w:after="0"/>
        <w:tabs>
          <w:tab w:leader="none" w:pos="208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No Waivers; Remedies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40" w:firstLine="1951"/>
        <w:spacing w:after="0" w:line="239" w:lineRule="auto"/>
        <w:tabs>
          <w:tab w:leader="none" w:pos="2683"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207" w:lineRule="exact"/>
        <w:rPr>
          <w:rFonts w:ascii="Times New Roman" w:cs="Times New Roman" w:eastAsia="Times New Roman" w:hAnsi="Times New Roman"/>
          <w:sz w:val="22"/>
          <w:szCs w:val="22"/>
          <w:color w:val="auto"/>
        </w:rPr>
      </w:pPr>
    </w:p>
    <w:p>
      <w:pPr>
        <w:ind w:right="20" w:firstLine="1951"/>
        <w:spacing w:after="0" w:line="248" w:lineRule="auto"/>
        <w:tabs>
          <w:tab w:leader="none" w:pos="2747" w:val="left"/>
        </w:tabs>
        <w:numPr>
          <w:ilvl w:val="1"/>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97" w:lineRule="exact"/>
        <w:rPr>
          <w:rFonts w:ascii="Times New Roman" w:cs="Times New Roman" w:eastAsia="Times New Roman" w:hAnsi="Times New Roman"/>
          <w:sz w:val="21"/>
          <w:szCs w:val="21"/>
          <w:color w:val="auto"/>
        </w:rPr>
      </w:pPr>
    </w:p>
    <w:p>
      <w:pPr>
        <w:ind w:right="140" w:firstLine="1952"/>
        <w:spacing w:after="0" w:line="258" w:lineRule="auto"/>
        <w:tabs>
          <w:tab w:leader="none" w:pos="2808"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no statement herein of any right or remedy shall impair any other right or remedy stated herein or that otherwise may be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794" w:gutter="0" w:footer="0" w:header="0"/>
        </w:sectPr>
      </w:pPr>
    </w:p>
    <w:bookmarkStart w:id="260" w:name="page261"/>
    <w:bookmarkEnd w:id="260"/>
    <w:p>
      <w:pPr>
        <w:ind w:left="-1120" w:right="400" w:firstLine="1304"/>
        <w:spacing w:after="0"/>
        <w:tabs>
          <w:tab w:leader="none" w:pos="968"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or Delegation</w:t>
      </w:r>
      <w:r>
        <w:rPr>
          <w:rFonts w:ascii="Times New Roman" w:cs="Times New Roman" w:eastAsia="Times New Roman" w:hAnsi="Times New Roman"/>
          <w:sz w:val="22"/>
          <w:szCs w:val="22"/>
          <w:color w:val="auto"/>
        </w:rPr>
        <w:t>. No party may assign any right or delegate any obligation hereunder, including by merger, consolidation, operation of law or otherwise, without the written consent of the other parties to this Agreement. Any purported assignment or delegation without such consent shall be void, in addition to constituting a material breach of this Agreement.</w:t>
      </w:r>
    </w:p>
    <w:p>
      <w:pPr>
        <w:spacing w:after="0" w:line="203" w:lineRule="exact"/>
        <w:rPr>
          <w:rFonts w:ascii="Times New Roman" w:cs="Times New Roman" w:eastAsia="Times New Roman" w:hAnsi="Times New Roman"/>
          <w:sz w:val="22"/>
          <w:szCs w:val="22"/>
          <w:color w:val="auto"/>
        </w:rPr>
      </w:pPr>
    </w:p>
    <w:p>
      <w:pPr>
        <w:ind w:left="-1120" w:right="120" w:firstLine="1304"/>
        <w:spacing w:after="0" w:line="238" w:lineRule="auto"/>
        <w:tabs>
          <w:tab w:leader="none" w:pos="956"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all disputes or controversies arising out of or relating to this Agreement or the transactions contemplated hereby, including the applicable statute of limitations, shall be governed by and construed in accordance with the Laws of the State of New York, without giving effect to any choice of law or conflict of law provision or rule (whether of the State of New York or any other jurisdiction) that would cause the application of the Law of any jurisdiction other than the State of New York.</w:t>
      </w:r>
    </w:p>
    <w:p>
      <w:pPr>
        <w:spacing w:after="0" w:line="203" w:lineRule="exact"/>
        <w:rPr>
          <w:rFonts w:ascii="Times New Roman" w:cs="Times New Roman" w:eastAsia="Times New Roman" w:hAnsi="Times New Roman"/>
          <w:sz w:val="22"/>
          <w:szCs w:val="22"/>
          <w:color w:val="auto"/>
        </w:rPr>
      </w:pPr>
    </w:p>
    <w:p>
      <w:pPr>
        <w:ind w:left="-1120" w:firstLine="1304"/>
        <w:spacing w:after="0" w:line="239" w:lineRule="auto"/>
        <w:tabs>
          <w:tab w:leader="none" w:pos="932"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Facsimile Signatures</w:t>
      </w:r>
      <w:r>
        <w:rPr>
          <w:rFonts w:ascii="Times New Roman" w:cs="Times New Roman" w:eastAsia="Times New Roman" w:hAnsi="Times New Roman"/>
          <w:sz w:val="22"/>
          <w:szCs w:val="22"/>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signature pages that together (but need not individually) bear the signatures of all other parties.</w:t>
      </w:r>
    </w:p>
    <w:p>
      <w:pPr>
        <w:spacing w:after="0" w:line="207" w:lineRule="exact"/>
        <w:rPr>
          <w:rFonts w:ascii="Times New Roman" w:cs="Times New Roman" w:eastAsia="Times New Roman" w:hAnsi="Times New Roman"/>
          <w:sz w:val="22"/>
          <w:szCs w:val="22"/>
          <w:color w:val="auto"/>
        </w:rPr>
      </w:pPr>
    </w:p>
    <w:p>
      <w:pPr>
        <w:ind w:left="-1120" w:right="60" w:firstLine="1304"/>
        <w:spacing w:after="0" w:line="236" w:lineRule="auto"/>
        <w:tabs>
          <w:tab w:leader="none" w:pos="968"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agreements referenced herein, sets forth the entire agreement of the parties with respect to the subject matter hereof and thereof and supersedes all prior and contemporaneous understandings and agreements related thereto (whether written or oral), all of which are merged herein. No provision of this Agreement may be explained or qualified by any agreement, negotiations, understanding, discussion, conduct or course of conduct or by any trade usage. Except as otherwise expressly stated herein, there is no condition precedent to the effectiveness of any provision hereof or thereof.</w:t>
      </w:r>
    </w:p>
    <w:p>
      <w:pPr>
        <w:spacing w:after="0" w:line="208" w:lineRule="exact"/>
        <w:rPr>
          <w:rFonts w:ascii="Times New Roman" w:cs="Times New Roman" w:eastAsia="Times New Roman" w:hAnsi="Times New Roman"/>
          <w:sz w:val="22"/>
          <w:szCs w:val="22"/>
          <w:color w:val="auto"/>
        </w:rPr>
      </w:pPr>
    </w:p>
    <w:p>
      <w:pPr>
        <w:jc w:val="both"/>
        <w:ind w:left="-1120" w:right="240" w:firstLine="1304"/>
        <w:spacing w:after="0" w:line="239" w:lineRule="auto"/>
        <w:tabs>
          <w:tab w:leader="none" w:pos="968"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207" w:lineRule="exact"/>
        <w:rPr>
          <w:rFonts w:ascii="Times New Roman" w:cs="Times New Roman" w:eastAsia="Times New Roman" w:hAnsi="Times New Roman"/>
          <w:sz w:val="22"/>
          <w:szCs w:val="22"/>
          <w:color w:val="auto"/>
        </w:rPr>
      </w:pPr>
    </w:p>
    <w:p>
      <w:pPr>
        <w:ind w:left="-1120" w:right="80" w:firstLine="1304"/>
        <w:spacing w:after="0" w:line="233" w:lineRule="auto"/>
        <w:tabs>
          <w:tab w:leader="none" w:pos="920"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Any reference to any federal, state, local or foreign Law will be deemed also to refer to Law as amended and all rules and regulations promulgated thereunder, unless the context requires otherwise. The words “</w:t>
      </w:r>
      <w:r>
        <w:rPr>
          <w:rFonts w:ascii="Times New Roman" w:cs="Times New Roman" w:eastAsia="Times New Roman" w:hAnsi="Times New Roman"/>
          <w:sz w:val="22"/>
          <w:szCs w:val="22"/>
          <w:i w:val="1"/>
          <w:iCs w:val="1"/>
          <w:color w:val="auto"/>
        </w:rPr>
        <w:t>include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includes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including</w:t>
      </w:r>
      <w:r>
        <w:rPr>
          <w:rFonts w:ascii="Times New Roman" w:cs="Times New Roman" w:eastAsia="Times New Roman" w:hAnsi="Times New Roman"/>
          <w:sz w:val="22"/>
          <w:szCs w:val="22"/>
          <w:color w:val="auto"/>
        </w:rPr>
        <w:t>” will be deemed to be followed by “</w:t>
      </w:r>
      <w:r>
        <w:rPr>
          <w:rFonts w:ascii="Times New Roman" w:cs="Times New Roman" w:eastAsia="Times New Roman" w:hAnsi="Times New Roman"/>
          <w:sz w:val="22"/>
          <w:szCs w:val="22"/>
          <w:i w:val="1"/>
          <w:iCs w:val="1"/>
          <w:color w:val="auto"/>
        </w:rPr>
        <w:t>without limitation</w:t>
      </w:r>
      <w:r>
        <w:rPr>
          <w:rFonts w:ascii="Times New Roman" w:cs="Times New Roman" w:eastAsia="Times New Roman" w:hAnsi="Times New Roman"/>
          <w:sz w:val="22"/>
          <w:szCs w:val="22"/>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Times New Roman" w:cs="Times New Roman" w:eastAsia="Times New Roman" w:hAnsi="Times New Roman"/>
          <w:sz w:val="22"/>
          <w:szCs w:val="22"/>
          <w:i w:val="1"/>
          <w:iCs w:val="1"/>
          <w:color w:val="auto"/>
        </w:rPr>
        <w:t>this Agreement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herein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hereof</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hereby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hereunder</w:t>
      </w:r>
      <w:r>
        <w:rPr>
          <w:rFonts w:ascii="Times New Roman" w:cs="Times New Roman" w:eastAsia="Times New Roman" w:hAnsi="Times New Roman"/>
          <w:sz w:val="22"/>
          <w:szCs w:val="22"/>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106045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261" w:name="page262"/>
    <w:bookmarkEnd w:id="261"/>
    <w:p>
      <w:pPr>
        <w:ind w:left="-20" w:firstLine="1304"/>
        <w:spacing w:after="0" w:line="233" w:lineRule="auto"/>
        <w:tabs>
          <w:tab w:leader="none" w:pos="2020"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Except as otherwise expressly provided herein, any and all remedies provided herein will be deemed cumulative with and not exclusive of any other remedy conferred hereby, or by law or equity upon a party hereto,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2" w:right="359" w:bottom="1440" w:gutter="0" w:footer="0" w:header="0"/>
        </w:sectPr>
      </w:pPr>
    </w:p>
    <w:bookmarkStart w:id="262" w:name="page263"/>
    <w:bookmarkEnd w:id="262"/>
    <w:p>
      <w:pPr>
        <w:ind w:left="6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have executed this Agreement to be effective as of the date first set forth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PURCHASING PARTY: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RTW MASTER FUND, LTD.</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336867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Name:Roderick Wong, M.D.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RTW INNOVATION MASTER FUND, LTD.</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336867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Name:Roderick Wong, M.D.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RTW VENTURE FUND LIMITED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RTW Investments, LP, its Investment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336867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Name:Roderick Wong, M.D.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 for Notices: 40 10th Avenue, Floor 7</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New York, NY 10014</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legalops@rtwfunds.com</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Health Sciences Acquisitions Corporation 2</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336867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Name:Roderick Wong, M.D.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351" w:right="659" w:bottom="1440" w:gutter="0" w:footer="0" w:header="0"/>
        </w:sectPr>
      </w:pPr>
    </w:p>
    <w:bookmarkStart w:id="263" w:name="page264"/>
    <w:bookmarkEnd w:id="263"/>
    <w:p>
      <w:pPr>
        <w:ind w:left="45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Orchestra BioMed, Inc.</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David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26035</wp:posOffset>
            </wp:positionV>
            <wp:extent cx="336867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Name:David Hochman</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Forward Purchase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89535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64" w:name="page265"/>
    <w:bookmarkEnd w:id="264"/>
    <w:p>
      <w:pPr>
        <w:ind w:left="101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BACKSTOP AGREEMENT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This Backstop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July 4, 2022, by and among Health Sciences Acquisitions Corporation 2, a Cayman Islands exempted company (which shall deregister in the Cayman Islands and domesticate as a Delaware corporation prior to the Merger Closing,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Orchestra BioMed,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purchasing parties signatory hereto (the “</w:t>
      </w:r>
      <w:r>
        <w:rPr>
          <w:rFonts w:ascii="Times New Roman" w:cs="Times New Roman" w:eastAsia="Times New Roman" w:hAnsi="Times New Roman"/>
          <w:sz w:val="18"/>
          <w:szCs w:val="18"/>
          <w:u w:val="single" w:color="auto"/>
          <w:color w:val="auto"/>
        </w:rPr>
        <w:t>Purchasing Parties</w:t>
      </w:r>
      <w:r>
        <w:rPr>
          <w:rFonts w:ascii="Times New Roman" w:cs="Times New Roman" w:eastAsia="Times New Roman" w:hAnsi="Times New Roman"/>
          <w:sz w:val="18"/>
          <w:szCs w:val="18"/>
          <w:color w:val="auto"/>
        </w:rPr>
        <w:t>”). Capitalized terms used but not defined in this Agreement shall have the meanings ascribed to such terms in that certain Agreement and Plan of Merger, dated as of the date of this Agreement, by and among Parent, the Company and HSAC Olympus Merger Sub, Inc.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WHEREAS, in connection with the entry into the Merger Agreement, the Purchasing Parties have agreed to purchase up to 5,000,000 shares of Parent Ordinary Shares at a price of $10.00 per share to the extent that the number of shares of Parent Ordinary Shares that are redeemed in connection with the consummation of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would result in the Parent receiving less than the Closing Cash Amount (as defined below), on the terms and conditions set forth herein (the “</w:t>
      </w:r>
      <w:r>
        <w:rPr>
          <w:rFonts w:ascii="Times New Roman" w:cs="Times New Roman" w:eastAsia="Times New Roman" w:hAnsi="Times New Roman"/>
          <w:sz w:val="18"/>
          <w:szCs w:val="18"/>
          <w:u w:val="single" w:color="auto"/>
          <w:color w:val="auto"/>
        </w:rPr>
        <w:t>Backstop Commitment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representations, warranties and the mutual covenants contained in this Agreement, and for other good and valuable consideration, the receipt, sufficiency and adequacy of which are hereby acknowledged, the parties hereto agree as follows:</w:t>
      </w:r>
    </w:p>
    <w:p>
      <w:pPr>
        <w:spacing w:after="0" w:line="158" w:lineRule="exact"/>
        <w:rPr>
          <w:sz w:val="20"/>
          <w:szCs w:val="20"/>
          <w:color w:val="auto"/>
        </w:rPr>
      </w:pPr>
    </w:p>
    <w:p>
      <w:pPr>
        <w:ind w:left="1280" w:hanging="624"/>
        <w:spacing w:after="0"/>
        <w:tabs>
          <w:tab w:leader="none" w:pos="1280"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Backstop Shares.</w:t>
      </w:r>
    </w:p>
    <w:p>
      <w:pPr>
        <w:spacing w:after="0" w:line="229" w:lineRule="exact"/>
        <w:rPr>
          <w:rFonts w:ascii="Times New Roman" w:cs="Times New Roman" w:eastAsia="Times New Roman" w:hAnsi="Times New Roman"/>
          <w:sz w:val="18"/>
          <w:szCs w:val="18"/>
          <w:b w:val="1"/>
          <w:bCs w:val="1"/>
          <w:color w:val="auto"/>
        </w:rPr>
      </w:pPr>
    </w:p>
    <w:p>
      <w:pPr>
        <w:ind w:right="60" w:firstLine="1304"/>
        <w:spacing w:after="0" w:line="258" w:lineRule="auto"/>
        <w:tabs>
          <w:tab w:leader="none" w:pos="190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Backstop Subscription</w:t>
      </w:r>
      <w:r>
        <w:rPr>
          <w:rFonts w:ascii="Times New Roman" w:cs="Times New Roman" w:eastAsia="Times New Roman" w:hAnsi="Times New Roman"/>
          <w:sz w:val="18"/>
          <w:szCs w:val="18"/>
          <w:color w:val="auto"/>
        </w:rPr>
        <w:t>. Subject to, and contingent upon, the amount of Parent Closing Cash as of immediately prior to the Merger Closing (the “</w:t>
      </w:r>
      <w:r>
        <w:rPr>
          <w:rFonts w:ascii="Times New Roman" w:cs="Times New Roman" w:eastAsia="Times New Roman" w:hAnsi="Times New Roman"/>
          <w:sz w:val="18"/>
          <w:szCs w:val="18"/>
          <w:u w:val="single" w:color="auto"/>
          <w:color w:val="auto"/>
        </w:rPr>
        <w:t>Closing Cash Amount</w:t>
      </w:r>
      <w:r>
        <w:rPr>
          <w:rFonts w:ascii="Times New Roman" w:cs="Times New Roman" w:eastAsia="Times New Roman" w:hAnsi="Times New Roman"/>
          <w:sz w:val="18"/>
          <w:szCs w:val="18"/>
          <w:color w:val="auto"/>
        </w:rPr>
        <w:t>”) being less than that necessary to satisfy the Minimum Available Cash Condition (such deficit, the “</w:t>
      </w:r>
      <w:r>
        <w:rPr>
          <w:rFonts w:ascii="Times New Roman" w:cs="Times New Roman" w:eastAsia="Times New Roman" w:hAnsi="Times New Roman"/>
          <w:sz w:val="18"/>
          <w:szCs w:val="18"/>
          <w:u w:val="single" w:color="auto"/>
          <w:color w:val="auto"/>
        </w:rPr>
        <w:t>Backstop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Parent shall issue and sell to the Purchasing Parties, and the Purchasing Parties shall purchase from Parent, a number of Parent Ordinary Shares equal to the quotient of (i) the Backstop Subscription Amount, divided by (ii) $10.00 (the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rounded down to the nearest whole number (the “</w:t>
      </w:r>
      <w:r>
        <w:rPr>
          <w:rFonts w:ascii="Times New Roman" w:cs="Times New Roman" w:eastAsia="Times New Roman" w:hAnsi="Times New Roman"/>
          <w:sz w:val="18"/>
          <w:szCs w:val="18"/>
          <w:u w:val="single" w:color="auto"/>
          <w:color w:val="auto"/>
        </w:rPr>
        <w:t>Backstop Shares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340" w:firstLine="1304"/>
        <w:spacing w:after="0" w:line="282" w:lineRule="auto"/>
        <w:tabs>
          <w:tab w:leader="none" w:pos="191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As soon as reasonably practicable following completion of the Parent Shareholder Redemption, Parent shall deliver a written notice (the “</w:t>
      </w: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to the Purchasing Parties (with a copy sent concurrently to the Company) setting forth:</w:t>
      </w:r>
    </w:p>
    <w:p>
      <w:pPr>
        <w:spacing w:after="0" w:line="161"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2"/>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Redemption Amount;</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2"/>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Cash Amount;</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2"/>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Backstop Subscription Amount;</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2"/>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Backstop Shares; and</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2"/>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Closing Date.</w:t>
      </w:r>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for the avoidance of doubt, the “Backstop Subscription Amount” shall be finally calculated without including any Parent Ordinary Shares subject to the Parent Shareholder Redemption that have been offered for redemption but subsequently and validly withdrawn by the applicable holder in accordance with the Parent’s amended and restated memorandum and articles of association, the Cayman Islands Companies Act or other applicable law. The delivery of the Funding Notice hereunder shall serve as notice to the Sponsor that it will be required to pay the Backstop Subscription Amount and acquire the Backstop Shares, if any, pursuant to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65" w:name="page266"/>
    <w:bookmarkEnd w:id="265"/>
    <w:p>
      <w:pPr>
        <w:ind w:left="624" w:hanging="624"/>
        <w:spacing w:after="0"/>
        <w:tabs>
          <w:tab w:leader="none" w:pos="624"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Purchase Closing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656" w:right="60" w:firstLine="1304"/>
        <w:spacing w:after="0" w:line="255" w:lineRule="auto"/>
        <w:tabs>
          <w:tab w:leader="none" w:pos="1244"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closing of the sale of the Backstop Shares, if any (the “</w:t>
      </w:r>
      <w:r>
        <w:rPr>
          <w:rFonts w:ascii="Times New Roman" w:cs="Times New Roman" w:eastAsia="Times New Roman" w:hAnsi="Times New Roman"/>
          <w:sz w:val="18"/>
          <w:szCs w:val="18"/>
          <w:u w:val="single" w:color="auto"/>
          <w:color w:val="auto"/>
        </w:rPr>
        <w:t>Share Purchase Closing</w:t>
      </w:r>
      <w:r>
        <w:rPr>
          <w:rFonts w:ascii="Times New Roman" w:cs="Times New Roman" w:eastAsia="Times New Roman" w:hAnsi="Times New Roman"/>
          <w:sz w:val="18"/>
          <w:szCs w:val="18"/>
          <w:color w:val="auto"/>
        </w:rPr>
        <w:t xml:space="preserve">”), shall be held on the Closing Date, immediately prior to the Domestication. At the Share Purchase Closing, Parent will issue to the Purchasing Parties, collectively, the Backstop Shares against (and concurrently with) the payment of the Backstop Subscription Amount to Parent. Such issuance will be made in the amounts to each Purchasing Party set forth in written instructions provided by the Purchasing Parties to Parent (with a copy sent concurrently to the Company). All payments required to be made to Parent by the Purchasing Parties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shall be made by wire transfer of immediately available funds pursuant to written instructions provided by Parent to the Purchasing Parties (with a copy sent concurrently to the Company). For the avoidance of doubt, the payment obligations of the Purchasing Parties under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are joint and several..</w:t>
      </w:r>
    </w:p>
    <w:p>
      <w:pPr>
        <w:spacing w:after="0" w:line="188" w:lineRule="exact"/>
        <w:rPr>
          <w:rFonts w:ascii="Times New Roman" w:cs="Times New Roman" w:eastAsia="Times New Roman" w:hAnsi="Times New Roman"/>
          <w:sz w:val="18"/>
          <w:szCs w:val="18"/>
          <w:color w:val="auto"/>
        </w:rPr>
      </w:pPr>
    </w:p>
    <w:p>
      <w:pPr>
        <w:ind w:left="1264" w:hanging="616"/>
        <w:spacing w:after="0"/>
        <w:tabs>
          <w:tab w:leader="none" w:pos="1264"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Backstop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right="100" w:firstLine="1952"/>
        <w:spacing w:after="0" w:line="266" w:lineRule="auto"/>
        <w:tabs>
          <w:tab w:leader="none" w:pos="1773" w:val="left"/>
        </w:tabs>
        <w:numPr>
          <w:ilvl w:val="2"/>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register each Purchasing Party as the owner of the Backstop Shares it was issued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on Parent’s share register and with Parent’s transfer agent by book entry on or promptly after (but in no event more than two (2) Business Days after) the date of the Share Purchase Closing.</w:t>
      </w:r>
    </w:p>
    <w:p>
      <w:pPr>
        <w:spacing w:after="0" w:line="175" w:lineRule="exact"/>
        <w:rPr>
          <w:rFonts w:ascii="Times New Roman" w:cs="Times New Roman" w:eastAsia="Times New Roman" w:hAnsi="Times New Roman"/>
          <w:sz w:val="18"/>
          <w:szCs w:val="18"/>
          <w:color w:val="auto"/>
        </w:rPr>
      </w:pPr>
    </w:p>
    <w:p>
      <w:pPr>
        <w:ind w:left="-656" w:right="240" w:firstLine="1952"/>
        <w:spacing w:after="0" w:line="282" w:lineRule="auto"/>
        <w:tabs>
          <w:tab w:leader="none" w:pos="1823" w:val="left"/>
        </w:tabs>
        <w:numPr>
          <w:ilvl w:val="2"/>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register and book entry for any Backstop Shares shall contain a notation, and each certificate (if any) evidencing such Backstop Shares shall be stamped or otherwise imprinted with a legend, in substantially the following form:</w:t>
      </w:r>
    </w:p>
    <w:p>
      <w:pPr>
        <w:spacing w:after="0" w:line="162" w:lineRule="exact"/>
        <w:rPr>
          <w:sz w:val="20"/>
          <w:szCs w:val="20"/>
          <w:color w:val="auto"/>
        </w:rPr>
      </w:pPr>
    </w:p>
    <w:p>
      <w:pPr>
        <w:ind w:left="4" w:right="520"/>
        <w:spacing w:after="0" w:line="266"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U.S. SECURITIES ACT OF 1933, AS AMENDED, OR THE SECURITIES LAWS OF ANY STATE OR OTHER JURISDICTION, AND MAY NOT BE TRANSFERRED IN VIOLATION OF SUCH ACT AND LAWS.”</w:t>
      </w:r>
    </w:p>
    <w:p>
      <w:pPr>
        <w:spacing w:after="0" w:line="176" w:lineRule="exact"/>
        <w:rPr>
          <w:sz w:val="20"/>
          <w:szCs w:val="20"/>
          <w:color w:val="auto"/>
        </w:rPr>
      </w:pPr>
    </w:p>
    <w:p>
      <w:pPr>
        <w:ind w:left="-656" w:right="60" w:firstLine="1304"/>
        <w:spacing w:after="0" w:line="266" w:lineRule="auto"/>
        <w:tabs>
          <w:tab w:leader="none" w:pos="1155"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sales permitted pursuant to Rule 144 promulgated under the Exchange Act, if required by Parent’s transfer agent, Parent will, if required, promptly cause an opinion of counsel to be delivered to its transfer agent, together with any other authorizations, certificates and directions required by the transfer agent that authorize and direct the transfer agent to transfer such Backstop Shares without any such legend.</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1165"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 Purchasing Parties shall have registration rights with respect to their respective Backstop Shares as set forth in the Registration Rights Agreement that will be entered into by and among Parent, the Purchasing Parties, the Company and certain other parties thereto in connection with the consummation of the Transactions and the form of which is attached to the Merger Agreement as Exhibit E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56" w:right="120" w:firstLine="1304"/>
        <w:spacing w:after="0" w:line="266" w:lineRule="auto"/>
        <w:tabs>
          <w:tab w:leader="none" w:pos="1154"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Notional Amounts</w:t>
      </w:r>
      <w:r>
        <w:rPr>
          <w:rFonts w:ascii="Times New Roman" w:cs="Times New Roman" w:eastAsia="Times New Roman" w:hAnsi="Times New Roman"/>
          <w:sz w:val="18"/>
          <w:szCs w:val="18"/>
          <w:color w:val="auto"/>
        </w:rPr>
        <w:t>. In the event of any change to the capital structure of Parent, whether dilutive or otherwise, by way of a share dividend, share split, or any other similar transaction however described, the Per Share Price will be adjusted as necessary to account for such changes.</w:t>
      </w:r>
    </w:p>
    <w:p>
      <w:pPr>
        <w:spacing w:after="0" w:line="171" w:lineRule="exact"/>
        <w:rPr>
          <w:rFonts w:ascii="Times New Roman" w:cs="Times New Roman" w:eastAsia="Times New Roman" w:hAnsi="Times New Roman"/>
          <w:sz w:val="18"/>
          <w:szCs w:val="18"/>
          <w:color w:val="auto"/>
        </w:rPr>
      </w:pPr>
    </w:p>
    <w:p>
      <w:pPr>
        <w:ind w:left="-656" w:right="240" w:firstLine="656"/>
        <w:spacing w:after="0" w:line="286" w:lineRule="auto"/>
        <w:tabs>
          <w:tab w:leader="none" w:pos="622" w:val="left"/>
        </w:tabs>
        <w:numPr>
          <w:ilvl w:val="0"/>
          <w:numId w:val="3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Purchasing Parties</w:t>
      </w:r>
      <w:r>
        <w:rPr>
          <w:rFonts w:ascii="Times New Roman" w:cs="Times New Roman" w:eastAsia="Times New Roman" w:hAnsi="Times New Roman"/>
          <w:sz w:val="18"/>
          <w:szCs w:val="18"/>
          <w:color w:val="auto"/>
        </w:rPr>
        <w:t>. Each Purchasing Party represents and warrants, jointly and severally,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Parent and the Company as follows:</w:t>
      </w:r>
    </w:p>
    <w:p>
      <w:pPr>
        <w:spacing w:after="0" w:line="158" w:lineRule="exact"/>
        <w:rPr>
          <w:rFonts w:ascii="Times New Roman" w:cs="Times New Roman" w:eastAsia="Times New Roman" w:hAnsi="Times New Roman"/>
          <w:sz w:val="18"/>
          <w:szCs w:val="18"/>
          <w:b w:val="1"/>
          <w:bCs w:val="1"/>
          <w:color w:val="auto"/>
        </w:rPr>
      </w:pPr>
    </w:p>
    <w:p>
      <w:pPr>
        <w:ind w:left="-656" w:right="240" w:firstLine="1304"/>
        <w:spacing w:after="0" w:line="282" w:lineRule="auto"/>
        <w:tabs>
          <w:tab w:leader="none" w:pos="1154"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Such Purchasing Party is duly organized, validly existing, and in good standing under the Laws of the jurisdiction of its formation and has all requisite power and authority to carry on its business as presently conducted and as proposed to be conducted.</w:t>
      </w:r>
    </w:p>
    <w:p>
      <w:pPr>
        <w:spacing w:after="0" w:line="161" w:lineRule="exact"/>
        <w:rPr>
          <w:rFonts w:ascii="Times New Roman" w:cs="Times New Roman" w:eastAsia="Times New Roman" w:hAnsi="Times New Roman"/>
          <w:sz w:val="18"/>
          <w:szCs w:val="18"/>
          <w:color w:val="auto"/>
        </w:rPr>
      </w:pPr>
    </w:p>
    <w:p>
      <w:pPr>
        <w:ind w:left="-656" w:right="20" w:firstLine="1304"/>
        <w:spacing w:after="0" w:line="256" w:lineRule="auto"/>
        <w:tabs>
          <w:tab w:leader="none" w:pos="1165"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Such Purchasing Party has full power and authority to enter into this Agreement. This Agreement, when executed and delivered by such Purchasing Party, will constitute the valid and legally binding obligation of such Purchasing Party, enforceable in accordance with its terms, except (i) as limited by applicable bankruptcy, insolvency, reorganization, moratorium, fraudulent conveyance and any other Laws of general application affecting enforcement of creditors’ rights generally, (ii) as limited by Laws relating to the availability of specific performance, injunctive relief or other equitable remedies, or (iii) to the extent the indemnification provisions contained in the Registration Rights Agreement may be limited by applicable federal or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430530</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3" w:right="359" w:bottom="1440" w:gutter="0" w:footer="0" w:header="0"/>
        </w:sectPr>
      </w:pPr>
    </w:p>
    <w:bookmarkStart w:id="266" w:name="page267"/>
    <w:bookmarkEnd w:id="266"/>
    <w:p>
      <w:pPr>
        <w:ind w:right="300" w:firstLine="1304"/>
        <w:spacing w:after="0" w:line="266" w:lineRule="auto"/>
        <w:tabs>
          <w:tab w:leader="none" w:pos="181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Consents and Filings</w:t>
      </w:r>
      <w:r>
        <w:rPr>
          <w:rFonts w:ascii="Times New Roman" w:cs="Times New Roman" w:eastAsia="Times New Roman" w:hAnsi="Times New Roman"/>
          <w:sz w:val="18"/>
          <w:szCs w:val="18"/>
          <w:color w:val="auto"/>
        </w:rPr>
        <w:t>. No consent, approval, order or authorization of, or registration, qualification, designation, declaration or filing with, any federal, state or local governmental authority is required on the part of such Purchasing Party in connection with the consummation of the transactions contemplated by this Agreement.</w:t>
      </w:r>
    </w:p>
    <w:p>
      <w:pPr>
        <w:spacing w:after="0" w:line="175" w:lineRule="exact"/>
        <w:rPr>
          <w:rFonts w:ascii="Times New Roman" w:cs="Times New Roman" w:eastAsia="Times New Roman" w:hAnsi="Times New Roman"/>
          <w:sz w:val="18"/>
          <w:szCs w:val="18"/>
          <w:color w:val="auto"/>
        </w:rPr>
      </w:pPr>
    </w:p>
    <w:p>
      <w:pPr>
        <w:ind w:right="180" w:firstLine="1304"/>
        <w:spacing w:after="0" w:line="255" w:lineRule="auto"/>
        <w:tabs>
          <w:tab w:leader="none" w:pos="182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execution, delivery and performance by such Purchasing Party of this Agreement and the consummation by such Purchasing Party of the transactions contemplated by this Agreement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 (v) of any provision of federal or state statute, rule or regulation applicable to such Purchasing Party, in each case (other than clause (i)), which would have a material adverse effect on such Purchasing Party or its ability to consummate the transactions contemplated by this Agreement.</w:t>
      </w:r>
    </w:p>
    <w:p>
      <w:pPr>
        <w:spacing w:after="0" w:line="188" w:lineRule="exact"/>
        <w:rPr>
          <w:rFonts w:ascii="Times New Roman" w:cs="Times New Roman" w:eastAsia="Times New Roman" w:hAnsi="Times New Roman"/>
          <w:sz w:val="18"/>
          <w:szCs w:val="18"/>
          <w:color w:val="auto"/>
        </w:rPr>
      </w:pPr>
    </w:p>
    <w:p>
      <w:pPr>
        <w:ind w:firstLine="1304"/>
        <w:spacing w:after="0" w:line="255" w:lineRule="auto"/>
        <w:tabs>
          <w:tab w:leader="none" w:pos="181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such Purchasing Party in reliance upon such Purchasing Party’s representation to Parent, which by such Purchasing Party’s execution of this Agreement, such Purchasing Party hereby confirms, that its Backstop Shares to be acquired by such Purchasing Party will be acquired for investment for such Purchasing Party’s own account, not as a nominee or agent, and not with a view to the resale or distribution of any part thereof, and that such Purchasing Party has no present intention of selling, granting any participation in, or otherwise distributing the same in violation of Law. By executing this Agreement, such Purchasing Party further represents that such Purchasing Party does not presently have any contract, undertaking, agreement or arrangement with any Person to sell, transfer or grant participations to such Person or to any third Person, with respect to any of its Backstop Shares.</w:t>
      </w:r>
    </w:p>
    <w:p>
      <w:pPr>
        <w:spacing w:after="0" w:line="188" w:lineRule="exact"/>
        <w:rPr>
          <w:rFonts w:ascii="Times New Roman" w:cs="Times New Roman" w:eastAsia="Times New Roman" w:hAnsi="Times New Roman"/>
          <w:sz w:val="18"/>
          <w:szCs w:val="18"/>
          <w:color w:val="auto"/>
        </w:rPr>
      </w:pPr>
    </w:p>
    <w:p>
      <w:pPr>
        <w:ind w:right="380" w:firstLine="1304"/>
        <w:spacing w:after="0" w:line="266" w:lineRule="auto"/>
        <w:tabs>
          <w:tab w:leader="none" w:pos="179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Such Purchasing Party has had an opportunity to discuss Parent’s existing and planned or expected business, management, financial affairs and the terms and conditions of the purchase and sale of its Backstop Shares, as well as the terms of the Transactions, with Parent’s management.</w:t>
      </w:r>
    </w:p>
    <w:p>
      <w:pPr>
        <w:spacing w:after="0" w:line="175" w:lineRule="exact"/>
        <w:rPr>
          <w:rFonts w:ascii="Times New Roman" w:cs="Times New Roman" w:eastAsia="Times New Roman" w:hAnsi="Times New Roman"/>
          <w:sz w:val="18"/>
          <w:szCs w:val="18"/>
          <w:color w:val="auto"/>
        </w:rPr>
      </w:pPr>
    </w:p>
    <w:p>
      <w:pPr>
        <w:ind w:firstLine="1304"/>
        <w:spacing w:after="0" w:line="253" w:lineRule="auto"/>
        <w:tabs>
          <w:tab w:leader="none" w:pos="182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Backstop Shares</w:t>
      </w:r>
      <w:r>
        <w:rPr>
          <w:rFonts w:ascii="Times New Roman" w:cs="Times New Roman" w:eastAsia="Times New Roman" w:hAnsi="Times New Roman"/>
          <w:sz w:val="18"/>
          <w:szCs w:val="18"/>
          <w:color w:val="auto"/>
        </w:rPr>
        <w:t>. Such Purchasing Party understands that the offer and sale of its Backstop Shares to such Purchasing Party has not been, and will not be, registered under the Securities Act, by reason of a specific exemption from the registration provisions of the Securities Act which depends upon, among other things, the bona fide nature of the investment intent and the accuracy of such Purchasing Party’s representations as expressed herein. Such Purchasing Party understands that its Backstop Shares are “restricted securities” under applicable U.S. federal and state securities Laws and that, pursuant to these Laws, such Purchasing Party must hold its Backstop Shares indefinitely unless they are registered with the SEC and qualified by state authorities, or an exemption from such registration and qualification requirements is available. Such Purchasing Party acknowledges that Parent has no obligation to register or qualify its Backstop Shares, or any securities into which its Backstop Shares may be converted into or exercised for, for resale, except pursuant to the Registration Rights Agreement. Such Purchasing Party further acknowledges that if an exemption from registration or qualification is available, it may be conditioned on various requirements including, but not limited to, the time and manner of sale, the holding period for its Backstop Shares, and on requirements relating to Parent which are outside of such Purchasing Party’s control, and which Parent is under no obligation and may not be able to satisfy.</w:t>
      </w:r>
    </w:p>
    <w:p>
      <w:pPr>
        <w:spacing w:after="0" w:line="191" w:lineRule="exact"/>
        <w:rPr>
          <w:rFonts w:ascii="Times New Roman" w:cs="Times New Roman" w:eastAsia="Times New Roman" w:hAnsi="Times New Roman"/>
          <w:sz w:val="18"/>
          <w:szCs w:val="18"/>
          <w:color w:val="auto"/>
        </w:rPr>
      </w:pPr>
    </w:p>
    <w:p>
      <w:pPr>
        <w:ind w:right="500" w:firstLine="1304"/>
        <w:spacing w:after="0" w:line="282" w:lineRule="auto"/>
        <w:tabs>
          <w:tab w:leader="none" w:pos="182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High Degree of Risk</w:t>
      </w:r>
      <w:r>
        <w:rPr>
          <w:rFonts w:ascii="Times New Roman" w:cs="Times New Roman" w:eastAsia="Times New Roman" w:hAnsi="Times New Roman"/>
          <w:sz w:val="18"/>
          <w:szCs w:val="18"/>
          <w:color w:val="auto"/>
        </w:rPr>
        <w:t>. Such Purchasing Party understands that its agreement to purchase its Backstop Shares involves a high degree of risk, which could cause such Purchasing Party to lose all or part of its investment.</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Such Purchasing Party is an “accredited investor” as defined in Rule 501(a) of Regulation D promulgated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w:t>
      </w:r>
    </w:p>
    <w:p>
      <w:pPr>
        <w:spacing w:after="0" w:line="206" w:lineRule="exact"/>
        <w:rPr>
          <w:rFonts w:ascii="Times New Roman" w:cs="Times New Roman" w:eastAsia="Times New Roman" w:hAnsi="Times New Roman"/>
          <w:sz w:val="18"/>
          <w:szCs w:val="18"/>
          <w:color w:val="auto"/>
        </w:rPr>
      </w:pPr>
    </w:p>
    <w:p>
      <w:pPr>
        <w:ind w:right="80" w:firstLine="1304"/>
        <w:spacing w:after="0" w:line="266" w:lineRule="auto"/>
        <w:tabs>
          <w:tab w:leader="none" w:pos="178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such Purchasing Party, nor any of its officers, directors, employees, agents, stockholders or partners has either directly or indirectly, including, through a broker or finder (i) to its knowledge, engaged in any general solicitation, or (ii) published any advertisement in connection with the purchase and sale of its Backstop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7" w:name="page268"/>
    <w:bookmarkEnd w:id="267"/>
    <w:p>
      <w:pPr>
        <w:ind w:left="-656" w:right="20" w:firstLine="1304"/>
        <w:spacing w:after="0" w:line="282" w:lineRule="auto"/>
        <w:tabs>
          <w:tab w:leader="none" w:pos="1165"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Such Purchasing Party acknowledges its obligations under applicable securities Laws with respect to the treatment of material non-public information relating to Parent.</w:t>
      </w:r>
    </w:p>
    <w:p>
      <w:pPr>
        <w:spacing w:after="0" w:line="161" w:lineRule="exact"/>
        <w:rPr>
          <w:rFonts w:ascii="Times New Roman" w:cs="Times New Roman" w:eastAsia="Times New Roman" w:hAnsi="Times New Roman"/>
          <w:sz w:val="18"/>
          <w:szCs w:val="18"/>
          <w:color w:val="auto"/>
        </w:rPr>
      </w:pPr>
    </w:p>
    <w:p>
      <w:pPr>
        <w:ind w:left="-656" w:firstLine="1304"/>
        <w:spacing w:after="0" w:line="282" w:lineRule="auto"/>
        <w:tabs>
          <w:tab w:leader="none" w:pos="1125"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Adequacy of Financing</w:t>
      </w:r>
      <w:r>
        <w:rPr>
          <w:rFonts w:ascii="Times New Roman" w:cs="Times New Roman" w:eastAsia="Times New Roman" w:hAnsi="Times New Roman"/>
          <w:sz w:val="18"/>
          <w:szCs w:val="18"/>
          <w:color w:val="auto"/>
        </w:rPr>
        <w:t>. Such Purchasing Party will have at the Share Purchase Closing available to it sufficient funds to satisfy its obligations under this Agreement.</w:t>
      </w:r>
    </w:p>
    <w:p>
      <w:pPr>
        <w:spacing w:after="0" w:line="161" w:lineRule="exact"/>
        <w:rPr>
          <w:rFonts w:ascii="Times New Roman" w:cs="Times New Roman" w:eastAsia="Times New Roman" w:hAnsi="Times New Roman"/>
          <w:sz w:val="18"/>
          <w:szCs w:val="18"/>
          <w:color w:val="auto"/>
        </w:rPr>
      </w:pPr>
    </w:p>
    <w:p>
      <w:pPr>
        <w:ind w:left="-656" w:right="100" w:firstLine="1304"/>
        <w:spacing w:after="0" w:line="312" w:lineRule="auto"/>
        <w:tabs>
          <w:tab w:leader="none" w:pos="1215" w:val="left"/>
        </w:tabs>
        <w:numPr>
          <w:ilvl w:val="1"/>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Affiliation of Certain FINRA Members</w:t>
      </w:r>
      <w:r>
        <w:rPr>
          <w:rFonts w:ascii="Times New Roman" w:cs="Times New Roman" w:eastAsia="Times New Roman" w:hAnsi="Times New Roman"/>
          <w:sz w:val="17"/>
          <w:szCs w:val="17"/>
          <w:color w:val="auto"/>
        </w:rPr>
        <w:t>. Such Purchasing Party is neither a person associated nor affiliated with any underwriter of the IPO or, to its actual knowledge, any other member of the Financial Industry Regulatory Authority (“</w:t>
      </w:r>
      <w:r>
        <w:rPr>
          <w:rFonts w:ascii="Times New Roman" w:cs="Times New Roman" w:eastAsia="Times New Roman" w:hAnsi="Times New Roman"/>
          <w:sz w:val="17"/>
          <w:szCs w:val="17"/>
          <w:u w:val="single" w:color="auto"/>
          <w:color w:val="auto"/>
        </w:rPr>
        <w:t>FINRA</w:t>
      </w:r>
      <w:r>
        <w:rPr>
          <w:rFonts w:ascii="Times New Roman" w:cs="Times New Roman" w:eastAsia="Times New Roman" w:hAnsi="Times New Roman"/>
          <w:sz w:val="17"/>
          <w:szCs w:val="17"/>
          <w:color w:val="auto"/>
        </w:rPr>
        <w:t>”) that participated in the IPO.</w:t>
      </w:r>
    </w:p>
    <w:p>
      <w:pPr>
        <w:spacing w:after="0" w:line="139" w:lineRule="exact"/>
        <w:rPr>
          <w:rFonts w:ascii="Times New Roman" w:cs="Times New Roman" w:eastAsia="Times New Roman" w:hAnsi="Times New Roman"/>
          <w:sz w:val="17"/>
          <w:szCs w:val="17"/>
          <w:color w:val="auto"/>
        </w:rPr>
      </w:pPr>
    </w:p>
    <w:p>
      <w:pPr>
        <w:ind w:left="-656" w:right="220" w:firstLine="1304"/>
        <w:spacing w:after="0" w:line="282" w:lineRule="auto"/>
        <w:tabs>
          <w:tab w:leader="none" w:pos="1165"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Finder’s Fees</w:t>
      </w:r>
      <w:r>
        <w:rPr>
          <w:rFonts w:ascii="Times New Roman" w:cs="Times New Roman" w:eastAsia="Times New Roman" w:hAnsi="Times New Roman"/>
          <w:sz w:val="18"/>
          <w:szCs w:val="18"/>
          <w:color w:val="auto"/>
        </w:rPr>
        <w:t>. Such Purchasing Party is not and will not be obligated for any finder’s fee or commission in connection with the transactions contemplated by this Agreement.</w:t>
      </w:r>
    </w:p>
    <w:p>
      <w:pPr>
        <w:spacing w:after="0" w:line="161" w:lineRule="exact"/>
        <w:rPr>
          <w:rFonts w:ascii="Times New Roman" w:cs="Times New Roman" w:eastAsia="Times New Roman" w:hAnsi="Times New Roman"/>
          <w:sz w:val="18"/>
          <w:szCs w:val="18"/>
          <w:color w:val="auto"/>
        </w:rPr>
      </w:pPr>
    </w:p>
    <w:p>
      <w:pPr>
        <w:ind w:left="-656" w:firstLine="1304"/>
        <w:spacing w:after="0" w:line="256" w:lineRule="auto"/>
        <w:tabs>
          <w:tab w:leader="none" w:pos="121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such Purchasing Party, nor any director, officer, agent, employee or other Person acting on behalf of such Purchasing Party has, in the course of its actions for, or on behalf of, Purchasing Party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unlawful bribe, rebate, payoff, influence payment, kickback or other unlawful payment to any foreign or domestic government official or employee.</w:t>
      </w:r>
    </w:p>
    <w:p>
      <w:pPr>
        <w:spacing w:after="0" w:line="187" w:lineRule="exact"/>
        <w:rPr>
          <w:rFonts w:ascii="Times New Roman" w:cs="Times New Roman" w:eastAsia="Times New Roman" w:hAnsi="Times New Roman"/>
          <w:sz w:val="18"/>
          <w:szCs w:val="18"/>
          <w:color w:val="auto"/>
        </w:rPr>
      </w:pPr>
    </w:p>
    <w:p>
      <w:pPr>
        <w:ind w:left="-656" w:right="80" w:firstLine="1304"/>
        <w:spacing w:after="0" w:line="255" w:lineRule="auto"/>
        <w:tabs>
          <w:tab w:leader="none" w:pos="1165"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Anti-Money Laundering Laws</w:t>
      </w:r>
      <w:r>
        <w:rPr>
          <w:rFonts w:ascii="Times New Roman" w:cs="Times New Roman" w:eastAsia="Times New Roman" w:hAnsi="Times New Roman"/>
          <w:sz w:val="18"/>
          <w:szCs w:val="18"/>
          <w:color w:val="auto"/>
        </w:rPr>
        <w:t>. The operations of such Purchasing Party are and have been conducted at all times in compliance with applicable financial recordkeeping and reporting requirements and all other applicable U.S. and non-U.S. anti-money laundering Laws and regulations, including, but not limited to, those of the Currency and Foreign Transactions Reporting Act of 1970, as amended, the USA PATRIOT Act of 2001 and the applicable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such Purchasing Party with respect to the Anti-Money Laundering Laws is pending or, to the knowledge of such Purchasing Party, threatened.</w:t>
      </w:r>
    </w:p>
    <w:p>
      <w:pPr>
        <w:spacing w:after="0" w:line="188" w:lineRule="exact"/>
        <w:rPr>
          <w:rFonts w:ascii="Times New Roman" w:cs="Times New Roman" w:eastAsia="Times New Roman" w:hAnsi="Times New Roman"/>
          <w:sz w:val="18"/>
          <w:szCs w:val="18"/>
          <w:color w:val="auto"/>
        </w:rPr>
      </w:pPr>
    </w:p>
    <w:p>
      <w:pPr>
        <w:ind w:left="-656" w:right="80" w:firstLine="1304"/>
        <w:spacing w:after="0" w:line="254" w:lineRule="auto"/>
        <w:tabs>
          <w:tab w:leader="none" w:pos="1165"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and Warranties; Non-Reliance</w:t>
      </w:r>
      <w:r>
        <w:rPr>
          <w:rFonts w:ascii="Times New Roman" w:cs="Times New Roman" w:eastAsia="Times New Roman" w:hAnsi="Times New Roman"/>
          <w:sz w:val="18"/>
          <w:szCs w:val="18"/>
          <w:color w:val="auto"/>
        </w:rPr>
        <w:t xml:space="preserve">. Except for the specific representations and warranties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in any certificate or agreement delivered pursuant hereto, none of such Purchasing Party nor any person acting on behalf of such Purchasing Party nor any of such Purchasing Party’s affiliates (“</w:t>
      </w:r>
      <w:r>
        <w:rPr>
          <w:rFonts w:ascii="Times New Roman" w:cs="Times New Roman" w:eastAsia="Times New Roman" w:hAnsi="Times New Roman"/>
          <w:sz w:val="18"/>
          <w:szCs w:val="18"/>
          <w:u w:val="single" w:color="auto"/>
          <w:color w:val="auto"/>
        </w:rPr>
        <w:t>Purchasing Party Group</w:t>
      </w:r>
      <w:r>
        <w:rPr>
          <w:rFonts w:ascii="Times New Roman" w:cs="Times New Roman" w:eastAsia="Times New Roman" w:hAnsi="Times New Roman"/>
          <w:sz w:val="18"/>
          <w:szCs w:val="18"/>
          <w:color w:val="auto"/>
        </w:rPr>
        <w:t xml:space="preserve">”) has made, makes or shall be deemed to make any other express or implied representation or warranty with respect to such Purchasing Party or the purchase and sale of its Backstop Shares, and such Purchasing Party disclaim any such representation or warranty. Except for the specific representations and warranties expressly made by (i) Parent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and in any certificate or agreement delivered pursuant hereto and (ii) the Company in Section 5 of this Agreement, such Purchasing Party Group specifically disclaims that it is relying upon any other representations or warranties that may have been made by Parent, any person on behalf of Parent or any of Parent’s affiliates (collectively,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w:t>
      </w: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tations and Warranties of Parent</w:t>
      </w:r>
      <w:r>
        <w:rPr>
          <w:rFonts w:ascii="Times New Roman" w:cs="Times New Roman" w:eastAsia="Times New Roman" w:hAnsi="Times New Roman"/>
          <w:sz w:val="18"/>
          <w:szCs w:val="18"/>
          <w:color w:val="auto"/>
        </w:rPr>
        <w:t>. Parent represents and warrants to the Purchasing Parties as follows:</w:t>
      </w:r>
    </w:p>
    <w:p>
      <w:pPr>
        <w:spacing w:after="0" w:line="229" w:lineRule="exact"/>
        <w:rPr>
          <w:rFonts w:ascii="Times New Roman" w:cs="Times New Roman" w:eastAsia="Times New Roman" w:hAnsi="Times New Roman"/>
          <w:sz w:val="18"/>
          <w:szCs w:val="18"/>
          <w:b w:val="1"/>
          <w:bCs w:val="1"/>
          <w:color w:val="auto"/>
        </w:rPr>
      </w:pPr>
    </w:p>
    <w:p>
      <w:pPr>
        <w:ind w:left="-656" w:right="140" w:firstLine="1304"/>
        <w:spacing w:after="0" w:line="266" w:lineRule="auto"/>
        <w:tabs>
          <w:tab w:leader="none" w:pos="1154"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Corporate Power</w:t>
      </w:r>
      <w:r>
        <w:rPr>
          <w:rFonts w:ascii="Times New Roman" w:cs="Times New Roman" w:eastAsia="Times New Roman" w:hAnsi="Times New Roman"/>
          <w:sz w:val="18"/>
          <w:szCs w:val="18"/>
          <w:color w:val="auto"/>
        </w:rPr>
        <w:t>. Parent is an exempted company duly incorporated, validly existing and in good standing under the Laws of the Cayman Islands and has all requisite corporate power and authority to carry on its business as presently conducted and as proposed to be conducted.</w:t>
      </w:r>
    </w:p>
    <w:p>
      <w:pPr>
        <w:spacing w:after="0" w:line="175" w:lineRule="exact"/>
        <w:rPr>
          <w:rFonts w:ascii="Times New Roman" w:cs="Times New Roman" w:eastAsia="Times New Roman" w:hAnsi="Times New Roman"/>
          <w:sz w:val="18"/>
          <w:szCs w:val="18"/>
          <w:color w:val="auto"/>
        </w:rPr>
      </w:pPr>
    </w:p>
    <w:p>
      <w:pPr>
        <w:ind w:left="-656" w:right="40" w:firstLine="1304"/>
        <w:spacing w:after="0" w:line="261" w:lineRule="auto"/>
        <w:tabs>
          <w:tab w:leader="none" w:pos="1165"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share capital of Parent consists, as of the date hereof, of 100,000,000 shares of Parent Ordinary Shares and 1,000,000 preference shares, of which 20,450,000 Parent Ordinary Shares and no Parent Preferred Shares are issued and outstanding. All of the issued and outstanding Parent Ordinary Shares and preference shares have been duly authorized, are fully paid and nonassessable and were issued in compliance with all applicable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425450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337" w:right="379" w:bottom="1440" w:gutter="0" w:footer="0" w:header="0"/>
        </w:sectPr>
      </w:pPr>
    </w:p>
    <w:bookmarkStart w:id="268" w:name="page269"/>
    <w:bookmarkEnd w:id="268"/>
    <w:p>
      <w:pPr>
        <w:ind w:left="-1120" w:right="120" w:firstLine="1304"/>
        <w:spacing w:after="0" w:line="253" w:lineRule="auto"/>
        <w:tabs>
          <w:tab w:leader="none" w:pos="82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All corporate action required to be taken by Parent’s Board of Directors and shareholders in order to authorize Parent to enter into this Agreement, and to issue the Backstop Shares at the Share Purchase Closing has been taken or will be taken prior to the Share Purchase Closing, as applicable. All action on the part of the shareholders, directors and officers of Parent necessary for the execution and delivery of this Agreement, the performance of all obligations of Parent under this Agreement to be performed as of the Share Purchase Closing, and the issuance and delivery of the Backstop Shares has been taken or will be taken prior to the Share Purchase Closing. This Agreement, when executed and delivered by Parent, shall constitute a valid and legally binding obligation of Parent, enforceable against Parent in accordance with its terms except (i)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the Registration Rights Agreement may be limited by applicable federal or state securities Laws.</w:t>
      </w:r>
    </w:p>
    <w:p>
      <w:pPr>
        <w:spacing w:after="0" w:line="194"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of Backstop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20" w:right="20" w:firstLine="1952"/>
        <w:spacing w:after="0" w:line="255" w:lineRule="auto"/>
        <w:tabs>
          <w:tab w:leader="none" w:pos="1305"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Backstop Shares, when issued, sold and delivered in accordance with the terms and for the consideration set forth in this Agreement and registered in the register of members of the Company when issued in accordance with this Agreement, and registered on Parent’s share register, will be validly issued, fully paid and nonassessable and free of all preemptive or similar rights, liens, encumbrances and charges with respect to the issue thereof and restrictions on transfer other than restrictions on transfer specified under this Agreement, applicable state and federal securities Laws and liens or encumbrances created by or imposed by any Purchasing Party, as applicable. Assuming the accuracy of the representations of each Purchasing Party in this Agreement and subject to the filings described in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 xml:space="preserve"> below, the Backstop Shares will be issued in compliance with all applicable federal and state securities Laws.</w:t>
      </w:r>
    </w:p>
    <w:p>
      <w:pPr>
        <w:spacing w:after="0" w:line="188" w:lineRule="exact"/>
        <w:rPr>
          <w:rFonts w:ascii="Times New Roman" w:cs="Times New Roman" w:eastAsia="Times New Roman" w:hAnsi="Times New Roman"/>
          <w:sz w:val="18"/>
          <w:szCs w:val="18"/>
          <w:color w:val="auto"/>
        </w:rPr>
      </w:pPr>
    </w:p>
    <w:p>
      <w:pPr>
        <w:ind w:left="-1120" w:right="40" w:firstLine="1952"/>
        <w:spacing w:after="0" w:line="261" w:lineRule="auto"/>
        <w:tabs>
          <w:tab w:leader="none" w:pos="1359"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“bad actor” disqualifying event described in Rule 506(d)(1)(i)-(viii) of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is applicable to Parent or, to Parent’s knowledge, any Parent Covered Person (as defined below), except for a Disqualification Event as to which Rule 506(d)(2)(ii—iv) or (d)(3), is applicable. “</w:t>
      </w:r>
      <w:r>
        <w:rPr>
          <w:rFonts w:ascii="Times New Roman" w:cs="Times New Roman" w:eastAsia="Times New Roman" w:hAnsi="Times New Roman"/>
          <w:sz w:val="18"/>
          <w:szCs w:val="18"/>
          <w:u w:val="single" w:color="auto"/>
          <w:color w:val="auto"/>
        </w:rPr>
        <w:t>Parent Covered Person</w:t>
      </w:r>
      <w:r>
        <w:rPr>
          <w:rFonts w:ascii="Times New Roman" w:cs="Times New Roman" w:eastAsia="Times New Roman" w:hAnsi="Times New Roman"/>
          <w:sz w:val="18"/>
          <w:szCs w:val="18"/>
          <w:color w:val="auto"/>
        </w:rPr>
        <w:t>” means, with respect to Parent as an “issuer” for purposes of Rule 506 promulgated under the Securities Act, any Person listed in the first paragraph of Rule 506(d)(1).</w:t>
      </w:r>
    </w:p>
    <w:p>
      <w:pPr>
        <w:spacing w:after="0" w:line="179" w:lineRule="exact"/>
        <w:rPr>
          <w:rFonts w:ascii="Times New Roman" w:cs="Times New Roman" w:eastAsia="Times New Roman" w:hAnsi="Times New Roman"/>
          <w:sz w:val="18"/>
          <w:szCs w:val="18"/>
          <w:color w:val="auto"/>
        </w:rPr>
      </w:pPr>
    </w:p>
    <w:p>
      <w:pPr>
        <w:ind w:left="-1120" w:right="120" w:firstLine="1304"/>
        <w:spacing w:after="0" w:line="258" w:lineRule="auto"/>
        <w:tabs>
          <w:tab w:leader="none" w:pos="82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Consents and Filings</w:t>
      </w:r>
      <w:r>
        <w:rPr>
          <w:rFonts w:ascii="Times New Roman" w:cs="Times New Roman" w:eastAsia="Times New Roman" w:hAnsi="Times New Roman"/>
          <w:sz w:val="18"/>
          <w:szCs w:val="18"/>
          <w:color w:val="auto"/>
        </w:rPr>
        <w:t>. Assuming the accuracy of the representations and warranties made by the Purchasing Parties in this Agreement, no consent, approval, order or authorization of, or registration, qualification, designation, declaration or filing with, any federal, state or local governmental authority is required on the part of Parent in connection with the consummation of the transactions contemplated by this Agreement, except for filings pursuant to Regulation D of the Securities Act, applicable state securities Laws and pursuant to the Registration Rights Agreement.</w:t>
      </w:r>
    </w:p>
    <w:p>
      <w:pPr>
        <w:spacing w:after="0" w:line="183" w:lineRule="exact"/>
        <w:rPr>
          <w:rFonts w:ascii="Times New Roman" w:cs="Times New Roman" w:eastAsia="Times New Roman" w:hAnsi="Times New Roman"/>
          <w:sz w:val="18"/>
          <w:szCs w:val="18"/>
          <w:color w:val="auto"/>
        </w:rPr>
      </w:pPr>
    </w:p>
    <w:p>
      <w:pPr>
        <w:ind w:left="-1120" w:firstLine="1304"/>
        <w:spacing w:after="0" w:line="256" w:lineRule="auto"/>
        <w:tabs>
          <w:tab w:leader="none" w:pos="80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execution, delivery and performance of this Agreement and the consummation of the transactions contemplated by this Agreement will not result in any violation or default (i) of any provisions of Parent’s Governing Documents, as they may be amended from time to time, (ii) of any instrument, judgment, order, writ or decree to which Parent is a party or by which it is bound, (iii) under any note, indenture or mortgage to which Parent is a party or by which it is bound, (iv) under any lease, agreement, contract or purchase order to which Parent is a party or by which it is bound or (v) of any provision of federal or state statute, rule or regulation applicable to Parent, in each case (other than clause (i)) which would have a material adverse effect on Parent or its ability to consummate the transactions contemplated by this Agreement.</w:t>
      </w:r>
    </w:p>
    <w:p>
      <w:pPr>
        <w:spacing w:after="0" w:line="187" w:lineRule="exact"/>
        <w:rPr>
          <w:rFonts w:ascii="Times New Roman" w:cs="Times New Roman" w:eastAsia="Times New Roman" w:hAnsi="Times New Roman"/>
          <w:sz w:val="18"/>
          <w:szCs w:val="18"/>
          <w:color w:val="auto"/>
        </w:rPr>
      </w:pPr>
    </w:p>
    <w:p>
      <w:pPr>
        <w:ind w:left="-1120" w:right="180" w:firstLine="1304"/>
        <w:spacing w:after="0" w:line="282" w:lineRule="auto"/>
        <w:tabs>
          <w:tab w:leader="none" w:pos="836"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As of the date hereof, Parent has not conducted any operations other than organizational activities and activities in connection with the IPO, its search for a potential business combination and financing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414020</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69" w:name="page270"/>
    <w:bookmarkEnd w:id="269"/>
    <w:p>
      <w:pPr>
        <w:ind w:right="100" w:firstLine="1304"/>
        <w:spacing w:after="0" w:line="277" w:lineRule="auto"/>
        <w:tabs>
          <w:tab w:leader="none" w:pos="1821" w:val="left"/>
        </w:tabs>
        <w:numPr>
          <w:ilvl w:val="2"/>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Foreign Corrupt Practices</w:t>
      </w:r>
      <w:r>
        <w:rPr>
          <w:rFonts w:ascii="Times New Roman" w:cs="Times New Roman" w:eastAsia="Times New Roman" w:hAnsi="Times New Roman"/>
          <w:sz w:val="17"/>
          <w:szCs w:val="17"/>
          <w:color w:val="auto"/>
        </w:rPr>
        <w:t>. Neither Parent, nor any director, officer, agent, employee or other Person acting on behalf of Parent has, in the course of its actions for, or on behalf of, Parent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unlawful bribe, rebate, payoff, influence payment, kickback or other unlawful payment to any foreign or domestic government official or employee.</w:t>
      </w:r>
    </w:p>
    <w:p>
      <w:pPr>
        <w:spacing w:after="0" w:line="167" w:lineRule="exact"/>
        <w:rPr>
          <w:rFonts w:ascii="Times New Roman" w:cs="Times New Roman" w:eastAsia="Times New Roman" w:hAnsi="Times New Roman"/>
          <w:sz w:val="17"/>
          <w:szCs w:val="17"/>
          <w:color w:val="auto"/>
        </w:rPr>
      </w:pPr>
    </w:p>
    <w:p>
      <w:pPr>
        <w:ind w:firstLine="1304"/>
        <w:spacing w:after="0" w:line="261" w:lineRule="auto"/>
        <w:tabs>
          <w:tab w:leader="none" w:pos="1781" w:val="left"/>
        </w:tabs>
        <w:numPr>
          <w:ilvl w:val="2"/>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Anti-Money Laundering Laws</w:t>
      </w:r>
      <w:r>
        <w:rPr>
          <w:rFonts w:ascii="Times New Roman" w:cs="Times New Roman" w:eastAsia="Times New Roman" w:hAnsi="Times New Roman"/>
          <w:sz w:val="18"/>
          <w:szCs w:val="18"/>
          <w:color w:val="auto"/>
        </w:rPr>
        <w:t>. The operations of Parent are and have been conducted at all times in compliance with applicable financial recordkeeping and reporting requirements and all other applicable U.S. and non-U.S. anti-money laundering Laws and regulations, including, but not limited to, Anti-Money Laundering Laws, and no action, suit or proceeding by or before any court or governmental agency, authority or body or any arbitrator involving Parent with respect to the Anti-Money Laundering Laws is pending or, to the knowledge of Parent, threatened.</w:t>
      </w:r>
    </w:p>
    <w:p>
      <w:pPr>
        <w:spacing w:after="0" w:line="179" w:lineRule="exact"/>
        <w:rPr>
          <w:rFonts w:ascii="Times New Roman" w:cs="Times New Roman" w:eastAsia="Times New Roman" w:hAnsi="Times New Roman"/>
          <w:sz w:val="18"/>
          <w:szCs w:val="18"/>
          <w:color w:val="auto"/>
        </w:rPr>
      </w:pPr>
    </w:p>
    <w:p>
      <w:pPr>
        <w:ind w:right="280" w:firstLine="1304"/>
        <w:spacing w:after="0" w:line="282" w:lineRule="auto"/>
        <w:tabs>
          <w:tab w:leader="none" w:pos="1781" w:val="left"/>
        </w:tabs>
        <w:numPr>
          <w:ilvl w:val="2"/>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before or by any Governmental Authority or, to the Knowledge of Parent, threatened against or affecting Parent or any of Parent’s officers or directors, whether of a civil or criminal nature or otherwise, in their capacities as such.</w:t>
      </w:r>
    </w:p>
    <w:p>
      <w:pPr>
        <w:spacing w:after="0" w:line="161" w:lineRule="exact"/>
        <w:rPr>
          <w:rFonts w:ascii="Times New Roman" w:cs="Times New Roman" w:eastAsia="Times New Roman" w:hAnsi="Times New Roman"/>
          <w:sz w:val="18"/>
          <w:szCs w:val="18"/>
          <w:color w:val="auto"/>
        </w:rPr>
      </w:pPr>
    </w:p>
    <w:p>
      <w:pPr>
        <w:jc w:val="both"/>
        <w:ind w:right="80" w:firstLine="1304"/>
        <w:spacing w:after="0" w:line="266" w:lineRule="auto"/>
        <w:tabs>
          <w:tab w:leader="none" w:pos="1821" w:val="left"/>
        </w:tabs>
        <w:numPr>
          <w:ilvl w:val="2"/>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Parent, nor any of its officers, directors, employees, agents or shareholders has either directly or indirectly, including, through a broker or finder (i) engaged in any general solicitation, or (ii) published any advertisement in connection with the offer and sale of the Backstop Shares.</w:t>
      </w:r>
    </w:p>
    <w:p>
      <w:pPr>
        <w:spacing w:after="0" w:line="175" w:lineRule="exact"/>
        <w:rPr>
          <w:rFonts w:ascii="Times New Roman" w:cs="Times New Roman" w:eastAsia="Times New Roman" w:hAnsi="Times New Roman"/>
          <w:sz w:val="18"/>
          <w:szCs w:val="18"/>
          <w:color w:val="auto"/>
        </w:rPr>
      </w:pPr>
    </w:p>
    <w:p>
      <w:pPr>
        <w:ind w:firstLine="1304"/>
        <w:spacing w:after="0" w:line="256" w:lineRule="auto"/>
        <w:tabs>
          <w:tab w:leader="none" w:pos="1781" w:val="left"/>
        </w:tabs>
        <w:numPr>
          <w:ilvl w:val="2"/>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and Warranties; Non-Reliance</w:t>
      </w:r>
      <w:r>
        <w:rPr>
          <w:rFonts w:ascii="Times New Roman" w:cs="Times New Roman" w:eastAsia="Times New Roman" w:hAnsi="Times New Roman"/>
          <w:sz w:val="18"/>
          <w:szCs w:val="18"/>
          <w:color w:val="auto"/>
        </w:rPr>
        <w:t xml:space="preserve">. Except for the specific representations and warranties contained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in any certificate or agreement delivered pursuant hereto, none of Parent Parties has made, makes or shall be deemed to make any other express or implied representation or warranty with respect to Parent, the transactions contemplated by the Merger Agreement or the offer and sale of the Backstop Shares, and the Parent Parties disclaim any such representation or warranty. Except for the specific representations and warranties expressly made by each of the Purchasing Parties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and in any certificate or agreement delivered pursuant hereto, the Parent Parties specifically disclaim that it is relying upon any other representations or warranties that may have been made by each Purchasing Party Group.</w:t>
      </w:r>
    </w:p>
    <w:p>
      <w:pPr>
        <w:spacing w:after="0" w:line="183"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20" w:firstLine="1304"/>
        <w:spacing w:after="0" w:line="255" w:lineRule="auto"/>
        <w:tabs>
          <w:tab w:leader="none" w:pos="1811"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The Company (i) represents and warrants to the Purchasing Parties that, the representations and warranties of the Company in the Merger Agreement are true and correct as of the date hereof and will be true and correct as of the Closing Date (other than any such representation or warranty that is made by its terms as of a specified date, which shall be true and correct as of such specified date), in each case, other than as would not individually or in the aggregate reasonably be expected to have a Material Adverse Effect in respect of the Company and its Subsidiaries and</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agrees that the Purchasing Party is relying on the accuracy of such representations and warranties as set forth in the preceding clause</w:t>
      </w: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0"/>
          <w:numId w:val="332"/>
        </w:numPr>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right="120" w:firstLine="1304"/>
        <w:spacing w:after="0" w:line="255" w:lineRule="auto"/>
        <w:tabs>
          <w:tab w:leader="none" w:pos="1821"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Representations and Warranties; Non-Reliance. Except for the specific representations and warranties contained in this Section 5 and in any certificate or agreement delivered pursuant hereto, neither the Company nor any person acting on behalf of the Company nor any of the Company’s affiliates (the “Company Group”) has made, makes or shall be deemed to make any other express or implied representation or warranty with respect to the Company, the transactions contemplated by the Merger Agreement or the offer and sale of the Backstop Shares, and the Company Group disclaims any such representation or warranty. Except for the specific representations and warranties expressly made by each Purchasing Party in Section 3 of this Agreement and in any certificate or agreement delivered pursuant hereto, the Company specifically disclaims that they are relying upon any other representations or warranties that may have been made by any Purchasing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0" w:name="page271"/>
    <w:bookmarkEnd w:id="270"/>
    <w:p>
      <w:pPr>
        <w:ind w:left="1272" w:hanging="624"/>
        <w:spacing w:after="0"/>
        <w:tabs>
          <w:tab w:leader="none" w:pos="1272" w:val="left"/>
        </w:tabs>
        <w:numPr>
          <w:ilvl w:val="1"/>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Agreements, Acknowledgements and Waivers of the Purchasing Parties.</w:t>
      </w:r>
    </w:p>
    <w:p>
      <w:pPr>
        <w:spacing w:after="0" w:line="229" w:lineRule="exact"/>
        <w:rPr>
          <w:rFonts w:ascii="Times New Roman" w:cs="Times New Roman" w:eastAsia="Times New Roman" w:hAnsi="Times New Roman"/>
          <w:sz w:val="18"/>
          <w:szCs w:val="18"/>
          <w:b w:val="1"/>
          <w:bCs w:val="1"/>
          <w:color w:val="auto"/>
        </w:rPr>
      </w:pPr>
    </w:p>
    <w:p>
      <w:pPr>
        <w:ind w:left="-8" w:right="20" w:firstLine="1304"/>
        <w:spacing w:after="0" w:line="255" w:lineRule="auto"/>
        <w:tabs>
          <w:tab w:leader="none" w:pos="1937" w:val="left"/>
        </w:tabs>
        <w:numPr>
          <w:ilvl w:val="2"/>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Reference is made to the final prospectus of Parent, dated August 3, 2020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Each Purchasing Party has read the Prospectus and understands that Parent has established the Trust Account for the benefit of the public Parent Shareholders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the Company and each Purchasing Party for itself and on behalf of its securityholders, hereby agrees that it does not now and shall not at any time hereafter have any right, title, interest or claim of any kind in or to any monies in the Trust Account as a result of, or arising out of, any negotiations, contracts or agreements with Parent and hereby agrees that it will not seek recourse against the Trust Account for any reason.</w:t>
      </w:r>
    </w:p>
    <w:p>
      <w:pPr>
        <w:spacing w:after="0" w:line="188" w:lineRule="exact"/>
        <w:rPr>
          <w:rFonts w:ascii="Times New Roman" w:cs="Times New Roman" w:eastAsia="Times New Roman" w:hAnsi="Times New Roman"/>
          <w:sz w:val="18"/>
          <w:szCs w:val="18"/>
          <w:color w:val="auto"/>
        </w:rPr>
      </w:pPr>
    </w:p>
    <w:p>
      <w:pPr>
        <w:ind w:left="-8" w:right="80" w:firstLine="1304"/>
        <w:spacing w:after="0" w:line="256" w:lineRule="auto"/>
        <w:tabs>
          <w:tab w:leader="none" w:pos="1948" w:val="left"/>
        </w:tabs>
        <w:numPr>
          <w:ilvl w:val="2"/>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xml:space="preserve">. Each Purchasing Party hereby agrees that neither it, nor any person or entity acting on its behalf or pursuant to any understanding with it, will engage in any Short Sales with respect to securities of Parent prior to the Merger Closing. For purposes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w:t>
      </w:r>
    </w:p>
    <w:p>
      <w:pPr>
        <w:spacing w:after="0" w:line="183" w:lineRule="exact"/>
        <w:rPr>
          <w:rFonts w:ascii="Times New Roman" w:cs="Times New Roman" w:eastAsia="Times New Roman" w:hAnsi="Times New Roman"/>
          <w:sz w:val="18"/>
          <w:szCs w:val="18"/>
          <w:color w:val="auto"/>
        </w:rPr>
      </w:pPr>
    </w:p>
    <w:p>
      <w:pPr>
        <w:ind w:left="1272" w:hanging="624"/>
        <w:spacing w:after="0"/>
        <w:tabs>
          <w:tab w:leader="none" w:pos="1272" w:val="left"/>
        </w:tabs>
        <w:numPr>
          <w:ilvl w:val="1"/>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Purchase Closing Conditions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8" w:right="260" w:firstLine="1304"/>
        <w:spacing w:after="0" w:line="266" w:lineRule="auto"/>
        <w:tabs>
          <w:tab w:leader="none" w:pos="1934" w:val="left"/>
        </w:tabs>
        <w:numPr>
          <w:ilvl w:val="2"/>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each of the Purchasing Parties to consummate the Share Purchase Closing is subject to the fulfillment, at or prior to the Share Purchase Closing of each of the following conditions, any of which, to the extent permitted by applicable Laws, may be waived by the Purchasing Parties (or, with respect to clauses (ii) and (iii), the Company on their behalf), as applicable:</w:t>
      </w:r>
    </w:p>
    <w:p>
      <w:pPr>
        <w:spacing w:after="0" w:line="175" w:lineRule="exact"/>
        <w:rPr>
          <w:rFonts w:ascii="Times New Roman" w:cs="Times New Roman" w:eastAsia="Times New Roman" w:hAnsi="Times New Roman"/>
          <w:sz w:val="18"/>
          <w:szCs w:val="18"/>
          <w:color w:val="auto"/>
        </w:rPr>
      </w:pPr>
    </w:p>
    <w:p>
      <w:pPr>
        <w:ind w:left="-8" w:right="80" w:firstLine="1952"/>
        <w:spacing w:after="0" w:line="261" w:lineRule="auto"/>
        <w:tabs>
          <w:tab w:leader="none" w:pos="2417" w:val="left"/>
        </w:tabs>
        <w:numPr>
          <w:ilvl w:val="3"/>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set forth in Article X of the Merger Agreement (other than those conditions that by their nature are to be satisfied by actions taken at the Merger Closing; provided that each such condition is then capable of being satisfied at the Merger Closing on such date) to Parent’s obligations to consummate the Merger Closing have been satisfied or waived, and the Company has confirmed to Parent in writing that the Company is ready, willing and able to consummate the Transactions;</w:t>
      </w:r>
    </w:p>
    <w:p>
      <w:pPr>
        <w:spacing w:after="0" w:line="179" w:lineRule="exact"/>
        <w:rPr>
          <w:rFonts w:ascii="Times New Roman" w:cs="Times New Roman" w:eastAsia="Times New Roman" w:hAnsi="Times New Roman"/>
          <w:sz w:val="18"/>
          <w:szCs w:val="18"/>
          <w:color w:val="auto"/>
        </w:rPr>
      </w:pPr>
    </w:p>
    <w:p>
      <w:pPr>
        <w:ind w:left="-8" w:firstLine="1952"/>
        <w:spacing w:after="0" w:line="258" w:lineRule="auto"/>
        <w:tabs>
          <w:tab w:leader="none" w:pos="2467" w:val="left"/>
        </w:tabs>
        <w:numPr>
          <w:ilvl w:val="3"/>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set forth in Section 4 of this Agreement shall have been true and correct as of the date hereof and shall be true and correct as of the Share Purchase Closing,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Parent’s ability to consummate the transactions contemplated by this Agreement;</w:t>
      </w:r>
    </w:p>
    <w:p>
      <w:pPr>
        <w:spacing w:after="0" w:line="183" w:lineRule="exact"/>
        <w:rPr>
          <w:rFonts w:ascii="Times New Roman" w:cs="Times New Roman" w:eastAsia="Times New Roman" w:hAnsi="Times New Roman"/>
          <w:sz w:val="18"/>
          <w:szCs w:val="18"/>
          <w:color w:val="auto"/>
        </w:rPr>
      </w:pPr>
    </w:p>
    <w:p>
      <w:pPr>
        <w:ind w:left="-8" w:right="700" w:firstLine="1952"/>
        <w:spacing w:after="0" w:line="282" w:lineRule="auto"/>
        <w:tabs>
          <w:tab w:leader="none" w:pos="2521" w:val="left"/>
        </w:tabs>
        <w:numPr>
          <w:ilvl w:val="3"/>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performed, satisfied and complied in all material respects with the covenants, agreements and conditions required by this Agreement to be performed, satisfied or complied with by Parent, at or prior to the Share Purchase Closing; and</w:t>
      </w:r>
    </w:p>
    <w:p>
      <w:pPr>
        <w:spacing w:after="0" w:line="161" w:lineRule="exact"/>
        <w:rPr>
          <w:rFonts w:ascii="Times New Roman" w:cs="Times New Roman" w:eastAsia="Times New Roman" w:hAnsi="Times New Roman"/>
          <w:sz w:val="18"/>
          <w:szCs w:val="18"/>
          <w:color w:val="auto"/>
        </w:rPr>
      </w:pPr>
    </w:p>
    <w:p>
      <w:pPr>
        <w:ind w:left="-8" w:right="180" w:firstLine="1952"/>
        <w:spacing w:after="0" w:line="266" w:lineRule="auto"/>
        <w:tabs>
          <w:tab w:leader="none" w:pos="2511" w:val="left"/>
        </w:tabs>
        <w:numPr>
          <w:ilvl w:val="3"/>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any Purchasing Party of its Backstop Shares.</w:t>
      </w:r>
    </w:p>
    <w:p>
      <w:pPr>
        <w:spacing w:after="0" w:line="175" w:lineRule="exact"/>
        <w:rPr>
          <w:rFonts w:ascii="Times New Roman" w:cs="Times New Roman" w:eastAsia="Times New Roman" w:hAnsi="Times New Roman"/>
          <w:sz w:val="18"/>
          <w:szCs w:val="18"/>
          <w:color w:val="auto"/>
        </w:rPr>
      </w:pPr>
    </w:p>
    <w:p>
      <w:pPr>
        <w:jc w:val="both"/>
        <w:ind w:left="-8" w:right="20" w:firstLine="1304"/>
        <w:spacing w:after="0" w:line="261" w:lineRule="auto"/>
        <w:tabs>
          <w:tab w:leader="none" w:pos="1899" w:val="left"/>
        </w:tabs>
        <w:numPr>
          <w:ilvl w:val="2"/>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Parent to consummate the Share Purchase Closing is subject to the fulfillment, at or prior to the Share Purchase Closing of each of the following conditions, any of which, to the extent permitted by applicable Laws, may be waived by Parent (or, with respect to clauses</w:t>
      </w:r>
    </w:p>
    <w:p>
      <w:pPr>
        <w:ind w:left="272" w:hanging="272"/>
        <w:spacing w:after="0"/>
        <w:tabs>
          <w:tab w:leader="none" w:pos="272"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the Company on its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443230</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271" w:name="page272"/>
    <w:bookmarkEnd w:id="271"/>
    <w:p>
      <w:pPr>
        <w:ind w:right="40" w:firstLine="1952"/>
        <w:spacing w:after="0" w:line="261" w:lineRule="auto"/>
        <w:tabs>
          <w:tab w:leader="none" w:pos="2425"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set forth in Article X of the Merger Agreement (other than those conditions that by their nature are to be satisfied by actions taken at the Merger Closing; provided that each such condition is then capable of being satisfied at the Merger Closing on such date) to Parent’s obligations to consummate the Merger Closing have been satisfied or waived, and the Company has confirmed to Parent in writing that the Company is ready, willing and able to consummate the Transactions;</w:t>
      </w:r>
    </w:p>
    <w:p>
      <w:pPr>
        <w:spacing w:after="0" w:line="179" w:lineRule="exact"/>
        <w:rPr>
          <w:rFonts w:ascii="Times New Roman" w:cs="Times New Roman" w:eastAsia="Times New Roman" w:hAnsi="Times New Roman"/>
          <w:sz w:val="18"/>
          <w:szCs w:val="18"/>
          <w:color w:val="auto"/>
        </w:rPr>
      </w:pPr>
    </w:p>
    <w:p>
      <w:pPr>
        <w:ind w:firstLine="1952"/>
        <w:spacing w:after="0" w:line="258" w:lineRule="auto"/>
        <w:tabs>
          <w:tab w:leader="none" w:pos="2475"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each Purchasing Party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shall have been true and correct as of the date hereof and shall be true and correct as of the Share Purchase Closing,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such Purchasing Party or its ability to consummate the transactions contemplated by this Agreement;</w:t>
      </w:r>
    </w:p>
    <w:p>
      <w:pPr>
        <w:spacing w:after="0" w:line="183" w:lineRule="exact"/>
        <w:rPr>
          <w:rFonts w:ascii="Times New Roman" w:cs="Times New Roman" w:eastAsia="Times New Roman" w:hAnsi="Times New Roman"/>
          <w:sz w:val="18"/>
          <w:szCs w:val="18"/>
          <w:color w:val="auto"/>
        </w:rPr>
      </w:pPr>
    </w:p>
    <w:p>
      <w:pPr>
        <w:ind w:right="560" w:firstLine="1952"/>
        <w:spacing w:after="0" w:line="266" w:lineRule="auto"/>
        <w:tabs>
          <w:tab w:leader="none" w:pos="2529"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Purchasing Party shall have performed, satisfied and complied in all material respects with the covenants, agreements and conditions required by this Agreement to be performed, satisfied or complied with by such Purchasing Party at or prior to the Share Purchase Closing; and</w:t>
      </w:r>
    </w:p>
    <w:p>
      <w:pPr>
        <w:spacing w:after="0" w:line="175" w:lineRule="exact"/>
        <w:rPr>
          <w:rFonts w:ascii="Times New Roman" w:cs="Times New Roman" w:eastAsia="Times New Roman" w:hAnsi="Times New Roman"/>
          <w:sz w:val="18"/>
          <w:szCs w:val="18"/>
          <w:color w:val="auto"/>
        </w:rPr>
      </w:pPr>
    </w:p>
    <w:p>
      <w:pPr>
        <w:ind w:right="140" w:firstLine="1952"/>
        <w:spacing w:after="0" w:line="266" w:lineRule="auto"/>
        <w:tabs>
          <w:tab w:leader="none" w:pos="2519"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any of the Purchasing Parties of the Backstop Shares.</w:t>
      </w:r>
    </w:p>
    <w:p>
      <w:pPr>
        <w:spacing w:after="0" w:line="17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This Agreement may be terminated at any time prior to the Share Purchase Closing:</w:t>
      </w:r>
    </w:p>
    <w:p>
      <w:pPr>
        <w:spacing w:after="0" w:line="229" w:lineRule="exact"/>
        <w:rPr>
          <w:rFonts w:ascii="Times New Roman" w:cs="Times New Roman" w:eastAsia="Times New Roman" w:hAnsi="Times New Roman"/>
          <w:sz w:val="18"/>
          <w:szCs w:val="18"/>
          <w:b w:val="1"/>
          <w:bCs w:val="1"/>
          <w:color w:val="auto"/>
        </w:rPr>
      </w:pPr>
    </w:p>
    <w:p>
      <w:pPr>
        <w:ind w:left="1900" w:hanging="596"/>
        <w:spacing w:after="0"/>
        <w:tabs>
          <w:tab w:leader="none" w:pos="190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parties hereto; or</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the termination of the Merger Agreement in accordance with its terms.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the event of any termination of this Agreement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this Agreement shall forthwith become null and void and have no effect, without any liability on the part of any party hereto and their respective directors, officers, employees, partners, managers, members, or shareholders and all rights and obligations of each party shall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relieve either party from liabilities or damages arising out of any fraud or willful breach by such party of any of its representations, warranties, covenants or agreements contained in this Agreement.</w:t>
      </w:r>
    </w:p>
    <w:p>
      <w:pPr>
        <w:spacing w:after="0" w:line="179" w:lineRule="exact"/>
        <w:rPr>
          <w:sz w:val="20"/>
          <w:szCs w:val="20"/>
          <w:color w:val="auto"/>
        </w:rPr>
      </w:pPr>
    </w:p>
    <w:p>
      <w:pPr>
        <w:ind w:left="1280" w:hanging="624"/>
        <w:spacing w:after="0"/>
        <w:tabs>
          <w:tab w:leader="none" w:pos="128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80" w:firstLine="1304"/>
        <w:spacing w:after="0" w:line="282" w:lineRule="auto"/>
        <w:tabs>
          <w:tab w:leader="none" w:pos="1811"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Survival of Representations. Subject to the limitations and other provisions of this Agreement, the representations and warranties contained herein shall survive the Share Purchase Closing and shall remain in full force and effect until the first anniversary of the Closing Date.</w:t>
      </w:r>
    </w:p>
    <w:p>
      <w:pPr>
        <w:spacing w:after="0" w:line="161" w:lineRule="exact"/>
        <w:rPr>
          <w:rFonts w:ascii="Times New Roman" w:cs="Times New Roman" w:eastAsia="Times New Roman" w:hAnsi="Times New Roman"/>
          <w:sz w:val="18"/>
          <w:szCs w:val="18"/>
          <w:color w:val="auto"/>
        </w:rPr>
      </w:pPr>
    </w:p>
    <w:p>
      <w:pPr>
        <w:ind w:right="180" w:firstLine="1304"/>
        <w:spacing w:after="0" w:line="256" w:lineRule="auto"/>
        <w:tabs>
          <w:tab w:leader="none" w:pos="1821"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(i) if by hand, electronic mail or nationally recognized overnight courier service, by 5:00 PM Pacific Time on a Business Day, addressee’s day and time, on the date of delivery, and if delivered after 5:00 PM Eastern Time, on the first Business Day after such delivery; (ii) if by email, on the date of transmission with affirmative confirmation of receipt; or (iii)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72" w:name="page273"/>
    <w:bookmarkEnd w:id="272"/>
    <w:p>
      <w:pPr>
        <w:ind w:left="1300"/>
        <w:spacing w:after="0"/>
        <w:rPr>
          <w:sz w:val="20"/>
          <w:szCs w:val="20"/>
          <w:color w:val="auto"/>
        </w:rPr>
      </w:pPr>
      <w:r>
        <w:rPr>
          <w:rFonts w:ascii="Times New Roman" w:cs="Times New Roman" w:eastAsia="Times New Roman" w:hAnsi="Times New Roman"/>
          <w:sz w:val="18"/>
          <w:szCs w:val="18"/>
          <w:color w:val="auto"/>
        </w:rPr>
        <w:t>If to Parent,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Health Sciences Acquisitions Corporation 2</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RTW Investments, 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al@hsac2.com, gd@hsac2.com</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with a copy to Parent’s counsel (which shall not constitute notice) to</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345 Park Ave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Giovanni Caruso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gcaruso@loeb.com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communications sent to the Company shall be sent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Orchestra BioMed,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150 Union Square Drive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Hope PA 18938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David Hochman, Chairman &amp; CEO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DHochman@orchestrabiomed.com</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with a copy to the Company’s counsel (which shall not constitute notice) to:</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Samuel A. Waxman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samuelwaxman@paulhastings.com</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All communications to a Purchasing Party shall be sent to the Purchasing Party’s address as set forth on the signature page hereof, or to such e-mail address, facsimile number (if any) or address as subsequently modified by written notice given in accordance with this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960" w:hanging="656"/>
        <w:spacing w:after="0"/>
        <w:tabs>
          <w:tab w:leader="none" w:pos="196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No Waivers; Remedies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1952"/>
        <w:spacing w:after="0" w:line="266" w:lineRule="auto"/>
        <w:tabs>
          <w:tab w:leader="none" w:pos="2425"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75" w:lineRule="exact"/>
        <w:rPr>
          <w:rFonts w:ascii="Times New Roman" w:cs="Times New Roman" w:eastAsia="Times New Roman" w:hAnsi="Times New Roman"/>
          <w:sz w:val="18"/>
          <w:szCs w:val="18"/>
          <w:color w:val="auto"/>
        </w:rPr>
      </w:pPr>
    </w:p>
    <w:p>
      <w:pPr>
        <w:ind w:firstLine="1952"/>
        <w:spacing w:after="0" w:line="256" w:lineRule="auto"/>
        <w:tabs>
          <w:tab w:leader="none" w:pos="2479"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3" w:name="page274"/>
    <w:bookmarkEnd w:id="273"/>
    <w:p>
      <w:pPr>
        <w:ind w:left="-1120" w:right="180" w:firstLine="1952"/>
        <w:spacing w:after="0" w:line="282" w:lineRule="auto"/>
        <w:tabs>
          <w:tab w:leader="none" w:pos="1409"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no statement herein of any right or remedy shall impair any other right or remedy stated herein or that otherwise may be available.</w:t>
      </w:r>
    </w:p>
    <w:p>
      <w:pPr>
        <w:spacing w:after="0" w:line="161" w:lineRule="exact"/>
        <w:rPr>
          <w:rFonts w:ascii="Times New Roman" w:cs="Times New Roman" w:eastAsia="Times New Roman" w:hAnsi="Times New Roman"/>
          <w:sz w:val="18"/>
          <w:szCs w:val="18"/>
          <w:color w:val="auto"/>
        </w:rPr>
      </w:pPr>
    </w:p>
    <w:p>
      <w:pPr>
        <w:ind w:left="-1120" w:right="260" w:firstLine="1304"/>
        <w:spacing w:after="0" w:line="266" w:lineRule="auto"/>
        <w:tabs>
          <w:tab w:leader="none" w:pos="79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or Delegation</w:t>
      </w:r>
      <w:r>
        <w:rPr>
          <w:rFonts w:ascii="Times New Roman" w:cs="Times New Roman" w:eastAsia="Times New Roman" w:hAnsi="Times New Roman"/>
          <w:sz w:val="18"/>
          <w:szCs w:val="18"/>
          <w:color w:val="auto"/>
        </w:rPr>
        <w:t>. No party may assign any right or delegate any obligation hereunder, including by merger, consolidation, operation of law or otherwise, without the written consent of the other parties to this Agreement. Any purported assignment or delegation without such consent shall be void, in addition to constituting a material breach of this Agreement.</w:t>
      </w:r>
    </w:p>
    <w:p>
      <w:pPr>
        <w:spacing w:after="0" w:line="175" w:lineRule="exact"/>
        <w:rPr>
          <w:rFonts w:ascii="Times New Roman" w:cs="Times New Roman" w:eastAsia="Times New Roman" w:hAnsi="Times New Roman"/>
          <w:sz w:val="18"/>
          <w:szCs w:val="18"/>
          <w:color w:val="auto"/>
        </w:rPr>
      </w:pPr>
    </w:p>
    <w:p>
      <w:pPr>
        <w:ind w:left="-1120" w:right="60" w:firstLine="1304"/>
        <w:spacing w:after="0" w:line="261" w:lineRule="auto"/>
        <w:tabs>
          <w:tab w:leader="none" w:pos="7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disputes or controversies arising out of or relating to this Agreement or the transactions contemplated hereby, including the applicable statute of limitations,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79" w:lineRule="exact"/>
        <w:rPr>
          <w:rFonts w:ascii="Times New Roman" w:cs="Times New Roman" w:eastAsia="Times New Roman" w:hAnsi="Times New Roman"/>
          <w:sz w:val="18"/>
          <w:szCs w:val="18"/>
          <w:color w:val="auto"/>
        </w:rPr>
      </w:pPr>
    </w:p>
    <w:p>
      <w:pPr>
        <w:ind w:left="-1120" w:firstLine="1304"/>
        <w:spacing w:after="0" w:line="261" w:lineRule="auto"/>
        <w:tabs>
          <w:tab w:leader="none" w:pos="761"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signature pages that together (but need not individually) bear the signatures of all other parties.</w:t>
      </w:r>
    </w:p>
    <w:p>
      <w:pPr>
        <w:spacing w:after="0" w:line="179" w:lineRule="exact"/>
        <w:rPr>
          <w:rFonts w:ascii="Times New Roman" w:cs="Times New Roman" w:eastAsia="Times New Roman" w:hAnsi="Times New Roman"/>
          <w:sz w:val="18"/>
          <w:szCs w:val="18"/>
          <w:color w:val="auto"/>
        </w:rPr>
      </w:pPr>
    </w:p>
    <w:p>
      <w:pPr>
        <w:ind w:left="-1120" w:right="40" w:firstLine="1304"/>
        <w:spacing w:after="0" w:line="258" w:lineRule="auto"/>
        <w:tabs>
          <w:tab w:leader="none" w:pos="79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agreements referenced herein, sets forth the entire agreement of the parties with respect to the subject matter hereof and thereof and supersedes all prior and contemporaneous understandings and agreements related thereto (whether written or oral), all of which are merged herein. No provision of this Agreement may be explained or qualified by any agreement, negotiations, understanding, discussion, conduct or course of conduct or by any trade usage. Except as otherwise expressly stated herein, there is no condition precedent to the effectiveness of any provision hereof or thereof.</w:t>
      </w:r>
    </w:p>
    <w:p>
      <w:pPr>
        <w:spacing w:after="0" w:line="183" w:lineRule="exact"/>
        <w:rPr>
          <w:rFonts w:ascii="Times New Roman" w:cs="Times New Roman" w:eastAsia="Times New Roman" w:hAnsi="Times New Roman"/>
          <w:sz w:val="18"/>
          <w:szCs w:val="18"/>
          <w:color w:val="auto"/>
        </w:rPr>
      </w:pPr>
    </w:p>
    <w:p>
      <w:pPr>
        <w:ind w:left="-1120" w:firstLine="1304"/>
        <w:spacing w:after="0" w:line="261" w:lineRule="auto"/>
        <w:tabs>
          <w:tab w:leader="none" w:pos="79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79" w:lineRule="exact"/>
        <w:rPr>
          <w:rFonts w:ascii="Times New Roman" w:cs="Times New Roman" w:eastAsia="Times New Roman" w:hAnsi="Times New Roman"/>
          <w:sz w:val="18"/>
          <w:szCs w:val="18"/>
          <w:color w:val="auto"/>
        </w:rPr>
      </w:pPr>
    </w:p>
    <w:p>
      <w:pPr>
        <w:ind w:left="-1120" w:right="40" w:firstLine="1304"/>
        <w:spacing w:after="0" w:line="253" w:lineRule="auto"/>
        <w:tabs>
          <w:tab w:leader="none" w:pos="751"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Any reference to any federal, state, local or foreign Law will be deemed also to refer to Law as amended and all rules and regulations promulgated thereunder, unless the context requires otherwise. The words “</w:t>
      </w:r>
      <w:r>
        <w:rPr>
          <w:rFonts w:ascii="Times New Roman" w:cs="Times New Roman" w:eastAsia="Times New Roman" w:hAnsi="Times New Roman"/>
          <w:sz w:val="18"/>
          <w:szCs w:val="18"/>
          <w:i w:val="1"/>
          <w:i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will be deemed to be followed by “</w:t>
      </w:r>
      <w:r>
        <w:rPr>
          <w:rFonts w:ascii="Times New Roman" w:cs="Times New Roman" w:eastAsia="Times New Roman" w:hAnsi="Times New Roman"/>
          <w:sz w:val="18"/>
          <w:szCs w:val="18"/>
          <w:i w:val="1"/>
          <w:iCs w:val="1"/>
          <w:color w:val="auto"/>
        </w:rPr>
        <w:t>without limitation</w:t>
      </w:r>
      <w:r>
        <w:rPr>
          <w:rFonts w:ascii="Times New Roman" w:cs="Times New Roman" w:eastAsia="Times New Roman" w:hAnsi="Times New Roman"/>
          <w:sz w:val="18"/>
          <w:szCs w:val="18"/>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Times New Roman" w:cs="Times New Roman" w:eastAsia="Times New Roman" w:hAnsi="Times New Roman"/>
          <w:sz w:val="18"/>
          <w:szCs w:val="18"/>
          <w:i w:val="1"/>
          <w:iCs w:val="1"/>
          <w:color w:val="auto"/>
        </w:rPr>
        <w:t>this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hereby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hereunder</w:t>
      </w:r>
      <w:r>
        <w:rPr>
          <w:rFonts w:ascii="Times New Roman" w:cs="Times New Roman" w:eastAsia="Times New Roman" w:hAnsi="Times New Roman"/>
          <w:sz w:val="18"/>
          <w:szCs w:val="18"/>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431800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37" w:right="359" w:bottom="1440" w:gutter="0" w:footer="0" w:header="0"/>
        </w:sectPr>
      </w:pPr>
    </w:p>
    <w:bookmarkStart w:id="274" w:name="page275"/>
    <w:bookmarkEnd w:id="274"/>
    <w:p>
      <w:pPr>
        <w:ind w:left="-100" w:firstLine="1304"/>
        <w:spacing w:after="0" w:line="253" w:lineRule="auto"/>
        <w:tabs>
          <w:tab w:leader="none" w:pos="1771"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a party hereto,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455930</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20" w:top="337" w:right="41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executed this Agreement to be effective as of the date first set forth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PURCHASING PARTIES:</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RTW MASTER FUND, LTD.</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 xml:space="preserve">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21590</wp:posOffset>
            </wp:positionV>
            <wp:extent cx="335153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RTW INNOVATION MASTER FUND, LTD.</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 xml:space="preserve">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21590</wp:posOffset>
            </wp:positionV>
            <wp:extent cx="335153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RTW VENTURE FUND LIMITED</w:t>
      </w:r>
    </w:p>
    <w:p>
      <w:pPr>
        <w:spacing w:after="0" w:line="2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RTW Investments, LP, its Investment Manager</w:t>
      </w:r>
    </w:p>
    <w:p>
      <w:pPr>
        <w:spacing w:after="0" w:line="2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 xml:space="preserve">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21590</wp:posOffset>
            </wp:positionV>
            <wp:extent cx="335153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4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 for Notices:</w:t>
      </w:r>
    </w:p>
    <w:p>
      <w:pPr>
        <w:ind w:left="4980"/>
        <w:spacing w:after="0" w:line="195" w:lineRule="auto"/>
        <w:rPr>
          <w:sz w:val="20"/>
          <w:szCs w:val="20"/>
          <w:color w:val="auto"/>
        </w:rPr>
      </w:pPr>
      <w:r>
        <w:rPr>
          <w:rFonts w:ascii="Times New Roman" w:cs="Times New Roman" w:eastAsia="Times New Roman" w:hAnsi="Times New Roman"/>
          <w:sz w:val="18"/>
          <w:szCs w:val="18"/>
          <w:color w:val="auto"/>
        </w:rPr>
        <w:t>40 10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Floor 7</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New York, NY 10014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450215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33" w:right="1440" w:bottom="1440" w:gutter="0" w:footer="0" w:header="0"/>
        </w:sectPr>
      </w:pPr>
    </w:p>
    <w:bookmarkStart w:id="276" w:name="page277"/>
    <w:bookmarkEnd w:id="276"/>
    <w:p>
      <w:pPr>
        <w:ind w:left="452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Health Sciences Acquisitions Corporation 2</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77" w:name="page278"/>
    <w:bookmarkEnd w:id="277"/>
    <w:p>
      <w:pPr>
        <w:ind w:left="45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Orchestra BioMed, Inc.</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David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David Hochman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 Copy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SUPPORT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July 4, 2022, is made by and among Health Sciences Acquisitions Corporation 2, a Cayman Islands exempted company (which shall deregister in the Cayman Islands and domesticate as a Delaware corporation prior to the Closing)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Orchestra BioMed,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holders of ordinary shares of Parent, par value $0.0001 per share (such shares, “</w:t>
      </w:r>
      <w:r>
        <w:rPr>
          <w:rFonts w:ascii="Times New Roman" w:cs="Times New Roman" w:eastAsia="Times New Roman" w:hAnsi="Times New Roman"/>
          <w:sz w:val="18"/>
          <w:szCs w:val="18"/>
          <w:u w:val="single" w:color="auto"/>
          <w:color w:val="auto"/>
        </w:rPr>
        <w:t>Parent Ordinary Shares</w:t>
      </w:r>
      <w:r>
        <w:rPr>
          <w:rFonts w:ascii="Times New Roman" w:cs="Times New Roman" w:eastAsia="Times New Roman" w:hAnsi="Times New Roman"/>
          <w:sz w:val="18"/>
          <w:szCs w:val="18"/>
          <w:color w:val="auto"/>
        </w:rPr>
        <w:t>” and the holders thereof, collectively, the “</w:t>
      </w:r>
      <w:r>
        <w:rPr>
          <w:rFonts w:ascii="Times New Roman" w:cs="Times New Roman" w:eastAsia="Times New Roman" w:hAnsi="Times New Roman"/>
          <w:sz w:val="18"/>
          <w:szCs w:val="18"/>
          <w:u w:val="single" w:color="auto"/>
          <w:color w:val="auto"/>
        </w:rPr>
        <w:t>Parent Shareholders</w:t>
      </w:r>
      <w:r>
        <w:rPr>
          <w:rFonts w:ascii="Times New Roman" w:cs="Times New Roman" w:eastAsia="Times New Roman" w:hAnsi="Times New Roman"/>
          <w:sz w:val="18"/>
          <w:szCs w:val="18"/>
          <w:color w:val="auto"/>
        </w:rPr>
        <w:t>”). Parent, the Company and the Parent Shareholders shall be referred to herein from time to time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such terms in the Merger Agreement (as defined below).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Parent, the Company and HSAC Olympus Merger Sub, Inc., a Delaware corporation and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shall enter into that certain Agreement and Plan of Merger, dated as of the date hereof (as it may be amended, restated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Parent Shareholders, including HSAC 2 Holdings,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are the record and beneficial owners of all of the issued and outstanding Parent Ordinary Shares set forth across from such shareholder’s name on the signature pages hereto;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Merger Agreement contemplates that the Parties will enter into this Agreement concurrently with the execution and delivery of the Merger Agreement by the parties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pacing w:after="0" w:line="162" w:lineRule="exact"/>
        <w:rPr>
          <w:sz w:val="20"/>
          <w:szCs w:val="20"/>
          <w:color w:val="auto"/>
        </w:rPr>
      </w:pPr>
    </w:p>
    <w:p>
      <w:pPr>
        <w:ind w:firstLine="656"/>
        <w:spacing w:after="0" w:line="252" w:lineRule="auto"/>
        <w:tabs>
          <w:tab w:leader="none" w:pos="1323"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Sponsor Agreement to Vote</w:t>
      </w:r>
      <w:r>
        <w:rPr>
          <w:rFonts w:ascii="Times New Roman" w:cs="Times New Roman" w:eastAsia="Times New Roman" w:hAnsi="Times New Roman"/>
          <w:sz w:val="18"/>
          <w:szCs w:val="18"/>
          <w:color w:val="auto"/>
        </w:rPr>
        <w:t>. The Sponsor hereby irrevocably and unconditionally agrees (a) to vote at any meeting of the shareholders of Parent (whether annual or special and whether or not an adjourned or postponed meeting however called and including any adjournment or postponement thereof), and in any action by written resolution of the shareholders of Parent, all of Sponsor’s Parent Ordinary Shares and any other equity securities of Parent that Sponsor holds of record or beneficially as of the date of this Agreement or acquires record or beneficial ownership after the date hereof, including any Parent Warrants or other securities convertible into or exercisable or exchangeable for Parent Ordinary Shares (collectively, the “</w:t>
      </w:r>
      <w:r>
        <w:rPr>
          <w:rFonts w:ascii="Times New Roman" w:cs="Times New Roman" w:eastAsia="Times New Roman" w:hAnsi="Times New Roman"/>
          <w:sz w:val="18"/>
          <w:szCs w:val="18"/>
          <w:u w:val="single" w:color="auto"/>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 Equity Securities</w:t>
      </w:r>
      <w:r>
        <w:rPr>
          <w:rFonts w:ascii="Times New Roman" w:cs="Times New Roman" w:eastAsia="Times New Roman" w:hAnsi="Times New Roman"/>
          <w:sz w:val="18"/>
          <w:szCs w:val="18"/>
          <w:color w:val="auto"/>
        </w:rPr>
        <w:t>”), (i) in favor of the Parent Proposals, (ii) in favor of any proposal to amend the Parent organizational documents to extend the period of time Parent is afforded under its organizational documents and its prospectus to consummate an initial business combination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xml:space="preserve">”) and (iii) against, and withhold consent with respect to, (A) any change in the business, management or board of directors of Parent (other than in connection with the Merger Agreement and the Transactions) and (B) any other matter, action or proposal that would reasonably be expected to (x) result in a breach of any of the Parent’s or Merger Sub’s covenants, agreements or obligations under the Merger Agreement, (y) result in any of the conditions to the Closing set forth in Section 10.1 or Section 10.3 of the Merger Agreement not being satisfied or (z) impede, frustrate, prevent or nullify any provision of this Agreement or the Merger Agreement or any of the transactions contemplated hereby or thereby, and (b) if a meeting is held in respect of the matters set forth in clause (a), to appear at the meeting, in person or by proxy, or otherwise cause all of Sponsor’s Subject Parent Equity Securities to be counted as present thereat for purposes of establishing a quorum. Prior to any valid termination of the Merger Agreement, Sponsor shall take, or cause to be taken, all actions and to do, or cause to be done, all things reasonably necessary under applicable Laws to consummate the Merger and the other Transactions and on the terms and subject to the conditions set forth therein. The obligations of Sponsor specified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apply whether or not the Merger, any of the Transactions or any action described above is recommend by Parent’s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79" w:name="page280"/>
    <w:bookmarkEnd w:id="279"/>
    <w:p>
      <w:pPr>
        <w:ind w:left="-20" w:right="100" w:firstLine="656"/>
        <w:spacing w:after="0" w:line="253" w:lineRule="auto"/>
        <w:tabs>
          <w:tab w:leader="none" w:pos="1303"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2 Shareholder Agreement to Vote</w:t>
      </w:r>
      <w:r>
        <w:rPr>
          <w:rFonts w:ascii="Times New Roman" w:cs="Times New Roman" w:eastAsia="Times New Roman" w:hAnsi="Times New Roman"/>
          <w:sz w:val="18"/>
          <w:szCs w:val="18"/>
          <w:color w:val="auto"/>
        </w:rPr>
        <w:t xml:space="preserve">. Each Parent Shareholder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Schedule 2 Shareholder</w:t>
      </w:r>
      <w:r>
        <w:rPr>
          <w:rFonts w:ascii="Times New Roman" w:cs="Times New Roman" w:eastAsia="Times New Roman" w:hAnsi="Times New Roman"/>
          <w:sz w:val="18"/>
          <w:szCs w:val="18"/>
          <w:color w:val="auto"/>
        </w:rPr>
        <w:t xml:space="preserve">”) hereby irrevocably and unconditionally agrees (a) to vote at any meeting of the shareholders of Parent (whether annual or special and whether or not an adjourned or postponed meeting however called and including any adjournment or postponement thereof), and in any action by written resolution of the shareholders of Parent, all of such Schedule 2 Shareholder’s Subject Parent Equity Securities, (i) in favor of the Extension Proposal and (ii) against, and withhold consent with respect to, (A) any change in the business, management or board of directors of Parent (other than in connection with the Merger Agreement and the Transactions) and (B) any other matter, action or proposal that would reasonably be expected to (x) result in a breach of any of the Parent’s or Merger Sub’s covenants, agreements or obligations under the Merger Agreement, (y) result in any of the conditions to the Closing set forth in Section 10.1 or Section 10.3 of the Merger Agreement not being satisfied or (z) impede, frustrate, prevent or nullify any provision of this Agreement or the Merger Agreement or any of the transactions contemplated hereby or thereby, and (b) if a meeting is held in respect of the matters set forth in clause (a), to appear at the meeting, in person or by proxy, or otherwise cause all of such Schedule 2 Shareholder’s Subject Parent Equity Securities to be counted as present thereat for purposes of establishing a quorum. The obligations of each Schedule 2 Shareholder specified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apply whether or not the Merger, any of the Transactions or any action described above is recommend by Parent’s board of directors.</w:t>
      </w:r>
    </w:p>
    <w:p>
      <w:pPr>
        <w:spacing w:after="0" w:line="189" w:lineRule="exact"/>
        <w:rPr>
          <w:rFonts w:ascii="Times New Roman" w:cs="Times New Roman" w:eastAsia="Times New Roman" w:hAnsi="Times New Roman"/>
          <w:sz w:val="18"/>
          <w:szCs w:val="18"/>
          <w:color w:val="auto"/>
        </w:rPr>
      </w:pPr>
    </w:p>
    <w:p>
      <w:pPr>
        <w:jc w:val="both"/>
        <w:ind w:left="-20" w:right="220" w:firstLine="656"/>
        <w:spacing w:after="0" w:line="261" w:lineRule="auto"/>
        <w:tabs>
          <w:tab w:leader="none" w:pos="1348"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Non-Redemption.</w:t>
      </w:r>
      <w:r>
        <w:rPr>
          <w:rFonts w:ascii="Times New Roman" w:cs="Times New Roman" w:eastAsia="Times New Roman" w:hAnsi="Times New Roman"/>
          <w:sz w:val="18"/>
          <w:szCs w:val="18"/>
          <w:color w:val="auto"/>
        </w:rPr>
        <w:t xml:space="preserve"> Each Parent Shareholder hereby irrevocably and unconditionally agrees not to redeem, elect to redeem or tender or submit any of its Subject Parent Equity Securities for redemption in connection with such shareholder approval, the Merger, the Parent Proposals or any other transactions contemplated by the Merger Agreement or the Extension Proposal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and any attempt to redeem such Subject Parent Equity Securities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w:t>
      </w:r>
    </w:p>
    <w:p>
      <w:pPr>
        <w:spacing w:after="0" w:line="179" w:lineRule="exact"/>
        <w:rPr>
          <w:rFonts w:ascii="Times New Roman" w:cs="Times New Roman" w:eastAsia="Times New Roman" w:hAnsi="Times New Roman"/>
          <w:sz w:val="18"/>
          <w:szCs w:val="18"/>
          <w:color w:val="auto"/>
        </w:rPr>
      </w:pPr>
    </w:p>
    <w:p>
      <w:pPr>
        <w:jc w:val="both"/>
        <w:ind w:left="-20" w:firstLine="656"/>
        <w:spacing w:after="0" w:line="254" w:lineRule="auto"/>
        <w:tabs>
          <w:tab w:leader="none" w:pos="133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Each Parent Shareholder hereby agrees that it shall not (a) sell, assign, transfer (including by operation of law), place a lien on, pledge, hypothecate, grant an option to purchase, distribute, dispose of or otherwise encumber any of its Subject Parent Equity Securities or otherwise enter into any contract, option or other arrangement or undertaking to do any of the foregoing, (b) deposit any of its Subject Parent Equity Securities into a voting trust or enter into a voting agreement or arrangement or grant any proxy or power of attorney with respect to any of its Subject Parent Equity Securities that conflicts with any of the covenants or agreements set forth in this Agreement, (c) enter into any swap or other arrangement that transfers to another, in whole or in part, any of the economic consequences of ownership of any Subject Securities, (d) take any action that would have the effect of preventing or materially delaying the performance of its obligations hereunder or (e) publicly announce any intention to effect any transaction specified in clause (a) through (d).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80" w:name="page281"/>
    <w:bookmarkEnd w:id="280"/>
    <w:p>
      <w:pPr>
        <w:jc w:val="both"/>
        <w:ind w:firstLine="656"/>
        <w:spacing w:after="0" w:line="261" w:lineRule="auto"/>
        <w:tabs>
          <w:tab w:leader="none" w:pos="1512"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Anti-Dilution Rights</w:t>
      </w:r>
      <w:r>
        <w:rPr>
          <w:rFonts w:ascii="Times New Roman" w:cs="Times New Roman" w:eastAsia="Times New Roman" w:hAnsi="Times New Roman"/>
          <w:sz w:val="18"/>
          <w:szCs w:val="18"/>
          <w:color w:val="auto"/>
        </w:rPr>
        <w:t>. Each Parent Shareholder hereby waives any and all anti-dilution or similar rights (if any) that may otherwise be available under the Parent Organizational Documents, applicable Law or pursuant to any contract or other agreement between or among such Parent Shareholder or any Affiliate of such Parent Shareholder (other than Parent or any of its Subsidiaries), on the one hand, and Parent or any of Parent’s Subsidiaries, on the other hand, with respect to the Transactions and that it shall not take any action in furtherance of exercising any such rights.</w:t>
      </w:r>
    </w:p>
    <w:p>
      <w:pPr>
        <w:spacing w:after="0" w:line="179"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70" w:lineRule="auto"/>
        <w:tabs>
          <w:tab w:leader="none" w:pos="1973"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and contingent upon the Effective Time, upon receipt thereof, 1,000,000 Domesticated Parent Common Shares (the “</w:t>
      </w:r>
      <w:r>
        <w:rPr>
          <w:rFonts w:ascii="Times New Roman" w:cs="Times New Roman" w:eastAsia="Times New Roman" w:hAnsi="Times New Roman"/>
          <w:sz w:val="18"/>
          <w:szCs w:val="18"/>
          <w:u w:val="single" w:color="auto"/>
          <w:color w:val="auto"/>
        </w:rPr>
        <w:t>Vesting Shares</w:t>
      </w:r>
      <w:r>
        <w:rPr>
          <w:rFonts w:ascii="Times New Roman" w:cs="Times New Roman" w:eastAsia="Times New Roman" w:hAnsi="Times New Roman"/>
          <w:sz w:val="18"/>
          <w:szCs w:val="18"/>
          <w:color w:val="auto"/>
        </w:rPr>
        <w:t>”) received by the Sponsor shall be deemed unvested and be irrevocably forfeited and surrendered to Parent for no consideration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Business Day following the expiration of the Earnout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w:t>
      </w:r>
    </w:p>
    <w:p>
      <w:pPr>
        <w:spacing w:after="0" w:line="23" w:lineRule="exact"/>
        <w:rPr>
          <w:rFonts w:ascii="Times New Roman" w:cs="Times New Roman" w:eastAsia="Times New Roman" w:hAnsi="Times New Roman"/>
          <w:sz w:val="18"/>
          <w:szCs w:val="18"/>
          <w:color w:val="auto"/>
        </w:rPr>
      </w:pPr>
    </w:p>
    <w:p>
      <w:pPr>
        <w:ind w:firstLine="1952"/>
        <w:spacing w:after="0" w:line="282" w:lineRule="auto"/>
        <w:tabs>
          <w:tab w:leader="none" w:pos="2562"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500,000 Vesting Shares shall be deemed to have vested and shall cease to be subject to forfeiture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upon the occurrence (or deemed occurrence pursuant to Section 4.7(c) of the Merger Agreement) of the Initial Milestone Event; and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560"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500,000 Vesting Shares shall be deemed to have vested and shall cease to be subject to forfeiture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upon the occurrence (or deemed occurrence pursuant to Section 4.7(c) of the Merger Agreement) of the Final Milestone Event.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59"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registered holder(s) of any Vesting Shares that remain unvested as of any time prior to the expiration of the Earnout Period shall be entitled to all of the rights of ownership thereof, including the right to vote and receive dividends and other distributions in respect of such Vesting Shares. Notwithstanding the foregoing, to the extent that any dividends or other distributions are paid in cash in respect of any Vesting Shares that have not vested in accordance with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such dividends and distributions shall be set aside by and paid to the holder(s) thereof as promptly as reasonably practicable following the vesting of such Vesting Shares (if at all).</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66"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shall not with respect to any of its Vesting Shares that remain unvested (i) sell, assign, transfer (including by operation of law), place a lien on, pledge, hypothecate, grant an option to purchase, distribute, dispose of such shares, (ii) enter into any swap or other arrangement that transfers to another, in whole or in part, any of the economic consequences of ownership of such shares or (iii) otherwise encumber enter into any contract, option or other arrangement or undertaking to do any of the foregoing.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1" w:name="page282"/>
    <w:bookmarkEnd w:id="281"/>
    <w:p>
      <w:pPr>
        <w:jc w:val="both"/>
        <w:ind w:firstLine="1304"/>
        <w:spacing w:after="0" w:line="261" w:lineRule="auto"/>
        <w:tabs>
          <w:tab w:leader="none" w:pos="1872"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or book entries representing unvested Vesting Shares shall bear a legend referencing that they are subject to forfeiture and restrictions on transfer pursuant to the provisions of this Agreement, and any transfer agent for Parent will be given appropriate stop transfer orders with respect to such unvested Vesting Shares. Upon vesting of the applicable Vesting Shares, Parent shall take all actions necessary to cause such legends to be removed.</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16"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Parent shall at any time during the Earnout Period pay any dividend on Domesticated Parent Common Shares by the issuance of additional Domesticated Parent Common Shares, or effect a subdivision or combination or consolidation of the outstanding Domesticated Parent Common Shares (by reclassification or otherwise) into a greater or lesser number of Domesticated Parent Common Shares, then, in each such case, the number of Vesting Shares that remain unvested shall be adjusted by multiplying such amount by a fraction, the numerator of which is the number of Domesticated Parent Common Shares (including any other shares so reclassified as Domesticated Parent Common Shares) outstanding immediately after such event and the denominator of which is the number of Domesticated Parent Common Shares that were outstanding immediately prior to such event.</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512"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Warrants</w:t>
      </w:r>
      <w:r>
        <w:rPr>
          <w:rFonts w:ascii="Times New Roman" w:cs="Times New Roman" w:eastAsia="Times New Roman" w:hAnsi="Times New Roman"/>
          <w:sz w:val="18"/>
          <w:szCs w:val="18"/>
          <w:color w:val="auto"/>
        </w:rPr>
        <w:t>. The Sponsor hereby agrees that, subject to and contingent upon the Closing, automatically and without any further action by any other Person, the Sponsor shall forfeit a number of Parent Warrants equal to fifty percent (50%) of all Parent Warrants held by the Sponsor immediately prior to Closing, and all such Parent Warrants shall be cancelled and forfeited for no consideration and shall cease to exist. As soon as reasonably practicable following the Closing, in respect of such forfeiture, Parent shall take all actions necessary to issue an equal number of Domesticated Parent Warrants having substantially similar terms to the Parent Warrants forfeited pursuant to the preceding sentence to employees of Parent or its Subsidiaries.</w:t>
      </w:r>
    </w:p>
    <w:p>
      <w:pPr>
        <w:spacing w:after="0" w:line="187"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1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Shareholder agrees not to, directly or indirectly, take any action, or authorize or knowingly permit any of its Affiliates or representatives to take any action on its behalf, that would be a breach of Sections 7.2 (Exclusivity) or 12.4 (Publicity) of the Merger Agreement if such action were taken by Parent.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4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Shareholder hereby agrees not to commence or participate in any claim, derivative or otherwise, against the Company, Parent or any of their respective Affiliates (i) challenging the validity of, or seeking to enjoin the operation of, any provision of this Agreement or (ii) alleging a breach of any fiduciary duty of the board of directors of Parent in connection with this Agreement, the Parent Shareholder Approval Matters, the Merger Agreement or the transactions contemplated thereby.</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811"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each Parent Shareholder set forth on Schedule A to the Registration Rights Agreement shall deliver to Parent and the Company a duly executed copy of the Registration Rights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0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Shareholder shall comply with, and fully perform all of its obligations, covenants and agreements set forth in, that certain Letter Agreement, dated as of August 3, 2020, with Parent to which it is a party.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2" w:name="page283"/>
    <w:bookmarkEnd w:id="282"/>
    <w:p>
      <w:pPr>
        <w:jc w:val="both"/>
        <w:spacing w:after="0" w:line="258" w:lineRule="auto"/>
        <w:rPr>
          <w:sz w:val="20"/>
          <w:szCs w:val="20"/>
          <w:color w:val="auto"/>
        </w:rPr>
      </w:pPr>
      <w:r>
        <w:rPr>
          <w:rFonts w:ascii="Times New Roman" w:cs="Times New Roman" w:eastAsia="Times New Roman" w:hAnsi="Times New Roman"/>
          <w:sz w:val="18"/>
          <w:szCs w:val="18"/>
          <w:color w:val="auto"/>
        </w:rPr>
        <w:t>Each Parent Shareholder acknowledges and agrees that the Company and Parent are entering into the Merger Agreement in reliance upon such Parent Shareholder entering into this Agreement and agreeing to be bound by, and perform, or otherwise comply with, as applicable, the agreements, covenants and obligations contained in this Agreement and but for such Parent Shareholder entering into this Agreement and agreeing to be bound by, and perform, or otherwise comply with, as applicable, the agreements, covenants and obligations contained in this Agreement the Company and Parent would not have entered into, or agreed to consummate the transactions contemplated by, the Merger Agreement.</w:t>
      </w:r>
    </w:p>
    <w:p>
      <w:pPr>
        <w:spacing w:after="0" w:line="183" w:lineRule="exact"/>
        <w:rPr>
          <w:sz w:val="20"/>
          <w:szCs w:val="20"/>
          <w:color w:val="auto"/>
        </w:rPr>
      </w:pPr>
    </w:p>
    <w:p>
      <w:pPr>
        <w:jc w:val="both"/>
        <w:ind w:firstLine="656"/>
        <w:spacing w:after="0" w:line="251" w:lineRule="auto"/>
        <w:tabs>
          <w:tab w:leader="none" w:pos="1138"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Parent Shareholder represents and warrants to the Company as follows: (a) this Agreement has been duly executed and delivered by such Parent Shareholder and, assuming due authorization, execution and delivery by the other parties to this Agreement, this Agreement constitutes a legally valid and binding obligation of such Parent Shareholder, enforceable against such Parent Shareholder in accordance with the terms hereof (except as enforceability may be limited by bankruptcy Laws, other similar Laws affecting creditors’ rights and general principles of equity affecting the availability of specific performance and other equitable remedies); (b) the execution and delivery of this Agreement by such Parent Shareholder does not, and the performance by such Parent Shareholder of his, her or its obligations hereunder will not, (i) if such Parent Shareholder is not an individual, conflict with or result in a violation of the organizational documents of such Parent Shareholder or (ii) require any consent or approval that has not been given or other action that has not been taken by any Person (including under any contract binding upon such Parent Shareholder or such Parent Shareholder’s Subject Parent Equity Securities), in each case, to the extent such consent, approval or other action would prevent, enjoin or materially delay the performance by such Sponsor of its, his or her obligations under this Agreement; (c) such Parent Shareholder has not entered into, and shall not enter into or otherwise amend, any contract or other agreement that would result in the restriction, limitation or interference with the performance of such Parent Shareholder’s obligations hereunder; (d) such Parent Shareholder is the record and beneficial owner of all of its Subject Parent Equity Securities, and there exist no Liens or any other limitation or restriction (including any restriction on the right to vote, sell or otherwise dispose of such securities), other than pursuant to (i) this Agreement, (ii) the Parent Organizational Documents, (iii) the Merger Agreement, or (iv) any applicable securities Laws; (e) such Parent Shareholder is sophisticated in financial matters and is able to evaluate the risks and benefits of holding its Subject Parent Equity Securities; (f) such Parent Shareholder, in making the decision to not redeem its Subject Parent Equity Securities, has not relied upon any oral or written representations or assurances from Parent or any of its officers, directors or employees or any other representatives or agents of Parent other than as set forth in this Agreement and such Parent Shareholder has had access to all of the filings made by Parent with the SEC; (g) such Parent Shareholder acknowledges that it has had the opportunity to review this Agreement and the transactions contemplated by this Agreement with such Parent Shareholder’s own legal counsel, investment and tax advisors; (h) such Parent Shareholder is not relying on any statements or representations of Parent or any of its representatives or agents for legal, tax or investment advice with respect to this Agreement or the transactions contemplated by the Merger Agreement; (i) there are no Actions pending against such Parent Shareholder or, to the knowledge of such Parent Shareholder, threatened against such Parent Shareholder, before (or, in the case of threatened Actions, that would be before) any Authority, which in any manner challenges or seeks to prevent, enjoin or materially delay the performance by such Parent Shareholder of such Parent Shareholder’s obligations under this Agreement; (j) no broker, finder, investment banker or other Person is entitled to any brokerage fee, finders’ fee or other commission in connection with this Agreement or any of the respective transactions contemplated hereby, based upon arrangements made by the Parent Shareholder; and (k) except as set forth on </w:t>
      </w:r>
      <w:r>
        <w:rPr>
          <w:rFonts w:ascii="Times New Roman" w:cs="Times New Roman" w:eastAsia="Times New Roman" w:hAnsi="Times New Roman"/>
          <w:sz w:val="18"/>
          <w:szCs w:val="18"/>
          <w:u w:val="single" w:color="auto"/>
          <w:color w:val="auto"/>
        </w:rPr>
        <w:t>Schedule 9(k)</w:t>
      </w:r>
      <w:r>
        <w:rPr>
          <w:rFonts w:ascii="Times New Roman" w:cs="Times New Roman" w:eastAsia="Times New Roman" w:hAnsi="Times New Roman"/>
          <w:sz w:val="18"/>
          <w:szCs w:val="18"/>
          <w:color w:val="auto"/>
        </w:rPr>
        <w:t xml:space="preserve"> hereto, such Parent Shareholder nor, to the knowledge of such Parent Shareholder, anyone related by blood, marriage or adoption to such Parent Shareholder or any Person in which such Parent Shareholder has a direct or indirect legal, contractual or beneficial ownership of 5% or more is party to, or has any rights with respect to or arising from, any contract or other agreement with Parent or its Subsidiaries.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3" w:name="page284"/>
    <w:bookmarkEnd w:id="283"/>
    <w:p>
      <w:pPr>
        <w:jc w:val="both"/>
        <w:ind w:firstLine="656"/>
        <w:spacing w:after="0" w:line="254" w:lineRule="auto"/>
        <w:tabs>
          <w:tab w:leader="none" w:pos="139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any notice or other action by any Party, and upon the earlier of (a) the Effective Time and (b) the termination of the Merger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 xml:space="preserve"> shall not affect any liability on the part of any Party for a Willful Breach of any covenant or agreement set forth in this Agreement prior to such termination or Fraud, and</w:t>
      </w:r>
    </w:p>
    <w:p>
      <w:pPr>
        <w:spacing w:after="0" w:line="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11, 12, 13 and 14 shall each survive the termination of this Agreement.</w:t>
      </w:r>
    </w:p>
    <w:p>
      <w:pPr>
        <w:spacing w:after="0" w:line="206" w:lineRule="exact"/>
        <w:rPr>
          <w:rFonts w:ascii="Times New Roman" w:cs="Times New Roman" w:eastAsia="Times New Roman" w:hAnsi="Times New Roman"/>
          <w:sz w:val="18"/>
          <w:szCs w:val="18"/>
          <w:color w:val="auto"/>
        </w:rPr>
      </w:pPr>
    </w:p>
    <w:p>
      <w:pPr>
        <w:jc w:val="both"/>
        <w:ind w:firstLine="656"/>
        <w:spacing w:after="0" w:line="253" w:lineRule="auto"/>
        <w:tabs>
          <w:tab w:leader="none" w:pos="1357"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Except for claims pursuant to the Merger Agreement or any other Additional Agreement by any party(ies) thereto against any other party(ies) thereto,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any Affiliate of the Company or any Affiliate of Parent (other than the Parent Shareholders, on the terms and subject to the conditions set forth herein), and (b) none of the Affiliates of the Company or the Affiliates of Parent (other than the Parent Shareholders, on the terms and subject to the conditions set forth herein)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as expressly provided herein, or for any actual or alleged inaccuracies, misstatements or omissions with respect to any information or materials of any kind furnished in connection with this Agreement, the negotiation hereof or the transactions contemplated hereby.</w:t>
      </w:r>
    </w:p>
    <w:p>
      <w:pPr>
        <w:spacing w:after="0" w:line="194"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73"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Shareholder (i) acknowledges that Parent and the Company may possess or have access to material non-public information which has not been communicated to Parent Shareholder; (ii) hereby waives any and all claims, whether at law, in equity or otherwise, that he, she, or it may now have or may hereafter acquire, whether presently known or unknown, against Parent or the Company or any of their respective officers, directors, employees, agents, affiliates, subsidiaries, successors or assigns relating to any failure to disclose any non-public information in connection with the transactions contemplated by this Agreement, including any such claims arising under the securities or other laws, rules and regulations, and (iii) is aware that Parent and the Company are relying on the foregoing acknowledgement and waiver in clauses (i) and (ii) above, respectively, in connection with the transactions contemplated by this Agreement.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4" w:name="page285"/>
    <w:bookmarkEnd w:id="284"/>
    <w:p>
      <w:pPr>
        <w:jc w:val="both"/>
        <w:ind w:firstLine="1304"/>
        <w:spacing w:after="0" w:line="253" w:lineRule="auto"/>
        <w:tabs>
          <w:tab w:leader="none" w:pos="1826"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Shareholder has read the Final Prospectus of Parent, dated August 3, 2020 (the “</w:t>
      </w:r>
      <w:r>
        <w:rPr>
          <w:rFonts w:ascii="Times New Roman" w:cs="Times New Roman" w:eastAsia="Times New Roman" w:hAnsi="Times New Roman"/>
          <w:sz w:val="18"/>
          <w:szCs w:val="18"/>
          <w:u w:val="single" w:color="auto"/>
          <w:color w:val="auto"/>
        </w:rPr>
        <w:t>Parent Prospectus</w:t>
      </w:r>
      <w:r>
        <w:rPr>
          <w:rFonts w:ascii="Times New Roman" w:cs="Times New Roman" w:eastAsia="Times New Roman" w:hAnsi="Times New Roman"/>
          <w:sz w:val="18"/>
          <w:szCs w:val="18"/>
          <w:color w:val="auto"/>
        </w:rPr>
        <w:t>”), and understands that Parent has established a “trust account,” initially in an amount of at least $160.0 million for the benefit of the “public stockholders” and the underwriters of Parent’s initial public offering and that, except for (i) interest earned on the trust account that may be released to Parent to pay any taxes it incurs, and (ii) interest earned by the trust account that may be released to Parent from time to time to fund Parent’s working capital and general corporate requirements, proceeds in the trust account will not be released until (A) the consummation of a Business Combination (as defined in the Parent Prospectus) or (B) the dissolution and liquidation of Parent if it is unable to consummate a Business Combination within the allotted time. For and in consideration of Parent entering into this Agreement with the Parent Shareholders, each Parent Shareholder hereby agrees that it does not have any right, title, interest or claim of any kind in or to any monies in the trust account (other than in connection with redemption rights or the dissolution of Parent)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and hereby waives any Claim it may have in the future as a result of, or arising out of, any negotiations, contracts or agreements with Parent and will not seek recourse against the trust account for any reason whatsoever, other than in connection with redemption rights or the dissolution of Parent.</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1471"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(other than Section 8(a)), (a) each Parent Shareholder makes no agreement or understanding herein in any capacity other than in its capacity as a record holder and beneficial owner of the Subject Parent Equity Securities and (b) nothing herein will be construed to limit or affect any action or inaction by any representative of the Sponsor in its capacity as a member of the board of directors (or other similar governing body) of Parent or any of its Affiliates or as an officer, employee or fiduciary of Parent or any of its Affiliates, in each case, acting in such person’s capacity as a director, officer, employee or fiduciary of Parent or such Affiliate.</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40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partners or participants in a joint venture.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633"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xml:space="preserve">. Sections 1.2 (Construction), 12.2 (Amendments; No Waivers; Remedies), 12.6 (No Assignment or Delegation), 12.7 (Governing Law), 12.8 (Counterparts; Facsimile Signatures), 12.9 (Entire Agreement), 12.10 (Severability), 12.15 (Waiver of Jury Trial), 12.16 (Submission to Jurisdiction), and 12.18 (Remedies) of the Merger Agreement are incorporated herein by reference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caused this Agreement to be duly executed on its behalf as of the day and year first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written.</w:t>
      </w:r>
    </w:p>
    <w:p>
      <w:pPr>
        <w:spacing w:after="0" w:line="20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HEALTH SCIENCES ACQUISITIONS CORPORATION 2</w:t>
      </w:r>
    </w:p>
    <w:p>
      <w:pPr>
        <w:spacing w:after="0" w:line="256" w:lineRule="exact"/>
        <w:rPr>
          <w:sz w:val="20"/>
          <w:szCs w:val="20"/>
          <w:color w:val="auto"/>
        </w:rPr>
      </w:pPr>
    </w:p>
    <w:p>
      <w:pPr>
        <w:ind w:left="55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34290</wp:posOffset>
            </wp:positionV>
            <wp:extent cx="331724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2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Name:Roderick Wong, M.D.</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4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286" w:name="page287"/>
    <w:bookmarkEnd w:id="286"/>
    <w:p>
      <w:pPr>
        <w:ind w:left="4520"/>
        <w:spacing w:after="0"/>
        <w:rPr>
          <w:sz w:val="20"/>
          <w:szCs w:val="20"/>
          <w:color w:val="auto"/>
        </w:rPr>
      </w:pPr>
      <w:r>
        <w:rPr>
          <w:rFonts w:ascii="Times New Roman" w:cs="Times New Roman" w:eastAsia="Times New Roman" w:hAnsi="Times New Roman"/>
          <w:sz w:val="17"/>
          <w:szCs w:val="17"/>
          <w:b w:val="1"/>
          <w:bCs w:val="1"/>
          <w:color w:val="auto"/>
        </w:rPr>
        <w:t>ORCHESTRA BIOMED, INC.</w:t>
      </w:r>
    </w:p>
    <w:p>
      <w:pPr>
        <w:spacing w:after="0" w:line="26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David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David Hochman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87" w:name="page288"/>
    <w:bookmarkEnd w:id="287"/>
    <w:p>
      <w:pPr>
        <w:ind w:left="4520"/>
        <w:spacing w:after="0"/>
        <w:rPr>
          <w:sz w:val="20"/>
          <w:szCs w:val="20"/>
          <w:color w:val="auto"/>
        </w:rPr>
      </w:pPr>
      <w:r>
        <w:rPr>
          <w:rFonts w:ascii="Times New Roman" w:cs="Times New Roman" w:eastAsia="Times New Roman" w:hAnsi="Times New Roman"/>
          <w:sz w:val="17"/>
          <w:szCs w:val="17"/>
          <w:b w:val="1"/>
          <w:bCs w:val="1"/>
          <w:color w:val="auto"/>
        </w:rPr>
        <w:t>PARENT SHAREHOLDERS</w:t>
      </w:r>
    </w:p>
    <w:p>
      <w:pPr>
        <w:spacing w:after="0" w:line="26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HSAC 2 HOLDINGS,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Alice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Alice Lee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4,360,956 Ordinary Shares</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Alice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Alice Lee</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10,000 Ordinary Shares</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Stephanie A. Sirota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Stephanie A. Sirota</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20,000 Ordinary Shares</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Pedro Granadillo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Pedro Granadillo</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22,261 Ordinary Shares</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Stuart Peltz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Stuart Peltz</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22,261 Ordinary Shares</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Michael Brophy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Brophy</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22,261 Ordinary Shares</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Carsten Boess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355727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Carsten Boess</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22,261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88" w:name="page289"/>
    <w:bookmarkEnd w:id="288"/>
    <w:p>
      <w:pPr>
        <w:jc w:val="right"/>
        <w:ind w:right="4099"/>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Alice Lee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A. Sirota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Pedro Granadillo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Stuart Peltz</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Brophy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Carsten Boess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89" w:name="page290"/>
    <w:bookmarkEnd w:id="289"/>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9(k)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Services Agreement dated August 3, 2020 between HSAC 2 Holdings, LLC and Health Sciences Acquisitions Corporation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320" w:top="117" w:right="1419" w:bottom="1440" w:gutter="0" w:footer="0" w:header="0"/>
        </w:sectPr>
      </w:pPr>
    </w:p>
    <w:bookmarkStart w:id="290" w:name="page291"/>
    <w:bookmarkEnd w:id="290"/>
    <w:p>
      <w:pPr>
        <w:ind w:left="102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SUPPORT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July 4, 2022, is made by and among Health Sciences Acquisitions Corporation 2, a Cayman Islands exempted company (which shall deregister in the Cayman Islands and domesticate as a Delaware corporation prior to the Closing)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Orchestra BioMed,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holder of Company Capital Stock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Parent, the Company and Holder shall be referred to herein from time to time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such terms in the Merger Agreement (as defined below).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Parent, the Company and HSAC Olympus Merger Sub, Inc., a Delaware corporation and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shall enter into that certain Agreement and Plan of Merger, dated as of the date hereof (as it may be amended, restated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Holder is the record and beneficial owner of all of the issued and outstanding shares of Company Capital Stock set forth on its signature page hereto; and</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WHEREAS, the Merger Agreement contemplates that the Parties will enter into this Agreement concurrently with the execution and delivery of the Merger Agreement by the parties thereto, pursuant to which, among other things, Holder will vote in favor of approval of (i) the adoption of the Merger Agreement and the approval of the Merger and the other transactions contemplated thereby, and (ii) if applicable, approval of the conversion of issued and outstanding shares of Series A Preferred Stock immediately prior to consummation of the Merger (collectively, the “</w:t>
      </w:r>
      <w:r>
        <w:rPr>
          <w:rFonts w:ascii="Times New Roman" w:cs="Times New Roman" w:eastAsia="Times New Roman" w:hAnsi="Times New Roman"/>
          <w:sz w:val="18"/>
          <w:szCs w:val="18"/>
          <w:u w:val="single" w:color="auto"/>
          <w:color w:val="auto"/>
        </w:rPr>
        <w:t>Company Proposals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pacing w:after="0" w:line="162" w:lineRule="exact"/>
        <w:rPr>
          <w:sz w:val="20"/>
          <w:szCs w:val="20"/>
          <w:color w:val="auto"/>
        </w:rPr>
      </w:pPr>
    </w:p>
    <w:p>
      <w:pPr>
        <w:ind w:firstLine="656"/>
        <w:spacing w:after="0" w:line="252" w:lineRule="auto"/>
        <w:tabs>
          <w:tab w:leader="none" w:pos="1188"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Holder hereby irrevocably and unconditionally agrees (a) to vote at any meeting of the stockholders of the Company (whether annual or special and whether or not an adjourned or postponed meeting however called and including any adjournment or postponement thereof), and in any action by written resolution of the stockholders of the Company, all of Holder’s shares of Company Capital Stock and any other equity securities of the Company that Holder holds of record or beneficially as of the date of this Agreement or acquires record or beneficial ownership after the date hereof, including any securities convertible into or exercisable or exchangeable for shares of Company Capital Stock (collectively, the “</w:t>
      </w:r>
      <w:r>
        <w:rPr>
          <w:rFonts w:ascii="Times New Roman" w:cs="Times New Roman" w:eastAsia="Times New Roman" w:hAnsi="Times New Roman"/>
          <w:sz w:val="18"/>
          <w:szCs w:val="18"/>
          <w:u w:val="single" w:color="auto"/>
          <w:color w:val="auto"/>
        </w:rPr>
        <w:t>Subject 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 in favor of the Company Proposals; (ii) to authorize and approve any amendment or amendments to the Company Certificate of Incorporation or other organizational documents of the Company that are reasonably necessary for purposes of effecting the transactions contemplated by the Merger Agreement and (iii) against, and withhold consent with respect to, (A) any change in the business, management or board of directors of the Company (other than in connection with the Merger Agreement and the Transactions) and (B) any other matter, action or proposal that would reasonably be expected to (x) result in a breach of any of the Company’s covenants, agreements or obligations under the Merger Agreement, (y) result in any of the conditions to the Closing set forth in Section 10.1 or Section 10.2 of the Merger Agreement not being satisfied or (z) impede, frustrate, prevent or nullify any provision of this Agreement or the Merger Agreement or any of the transactions contemplated hereby or thereby; and (b) if a meeting is held in respect of the matters set forth in clause (a), to appear at the meeting, in person or by proxy, or otherwise cause all of Holder’s Subject Company Equity Securities to be counted as present thereat for purposes of establishing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91" w:name="page292"/>
    <w:bookmarkEnd w:id="291"/>
    <w:p>
      <w:pPr>
        <w:jc w:val="both"/>
        <w:ind w:firstLine="656"/>
        <w:spacing w:after="0" w:line="254" w:lineRule="auto"/>
        <w:tabs>
          <w:tab w:leader="none" w:pos="130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Holder hereby agrees that it shall not (a) sell, assign, transfer (including by operation of law), place a lien on, pledge, hypothecate, grant an option to purchase, distribute, dispose of or otherwise encumber any of its Subject Company Equity Securities or otherwise enter into any contract, option or other arrangement or undertaking to do any of the foregoing, (b) deposit any of its Subject Company Equity Securities into a voting trust or enter into a voting agreement or arrangement or grant any proxy or power of attorney with respect to any of its Subject Company Equity Securities that conflicts with any of the covenants or agreements set forth in this Agreement, (c) enter into any swap or other arrangement that transfers to another, in whole or in part, any of the economic consequences of ownership of any Subject Securities, (d) take any action that would have the effect of preventing or materially delaying the performance of its obligations hereunder or (e) publicly announce any intention to effect any transaction specified in clause (a) through (d).</w:t>
      </w:r>
    </w:p>
    <w:p>
      <w:pPr>
        <w:spacing w:after="0" w:line="19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1304"/>
        <w:spacing w:after="0" w:line="261" w:lineRule="auto"/>
        <w:tabs>
          <w:tab w:leader="none" w:pos="1811"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hereby agrees not to commence or participate in any claim, derivative or otherwise, against the Company, Parent or any of their respective Affiliates (i) challenging the validity of, or seeking to enjoin the operation of, any provision of this Agreement or (ii) alleging a breach of any fiduciary duty of the board of directors of the Company in connection with this Agreement, the Company Proposals, the Merger Agreement or the transactions contemplated thereby.</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9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acknowledges and agrees that the Company and Parent are entering into the Merger Agreement in reliance upon Holder entering into this Agreement and agreeing to be bound by, and perform, or otherwise comply with, as applicable, the agreements, covenants and obligations contained in this Agreement and but for Holder entering into this Agreement and agreeing to be bound by, and perform, or otherwise comply with, as applicable, the agreements, covenants and obligations contained in this Agreement the Company and Parent would not have entered into, or agreed to consummate the transactions contemplated by, the Merger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1" w:lineRule="auto"/>
        <w:tabs>
          <w:tab w:leader="none" w:pos="130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Holder represents and warrants to the Company and Parent as follows: (a) this Agreement has been duly executed and delivered by Holder and, assuming due authorization, execution and delivery by the other parties to this Agreement, this Agreement constitutes a legally valid and binding obligation of Holder, enforceable against Holder in accordance with the terms hereof (except as enforceability may be limited by bankruptcy Laws, other similar Laws affecting creditors’ rights and general principles of equity affecting the availability of specific performance and other equitable remedies); (b) the execution and delivery of this Agreement by Holder does not, and the performance by Holder of his, her or its obligations hereunder will not, (i) if Holder is not an individual, conflict with or result in a violation of the organizational documents of Holder or (ii) require any consent or approval that has not been given or other action that has not been taken by any Person (including under any contract binding upon Holder or Holder’s Subject Company Equity Securities), in each case, to the extent such consent, approval or other action would prevent, enjoin or materially delay the performance by Holder of its, his or her obligations under this Agreement; (c) Holder has not entered into, and shall not enter into or otherwise amend, any contract or other agreement that would result in the restriction, limitation or interference with the performance of Holder’s obligations hereunder; (d) Holder is the record and beneficial owner of all of its Subject Company Equity Securities, and there exist no Liens or any other limitation or restriction (including any restriction on the right to vote, sell or otherwise dispose of such securities), other than pursuant to (i) this Agreement, (ii) the Company Certificate of Incorporation, (iii) the Merger Agreement, (iv) that certain Voting Agreement, dated May 31, 2018, by and among the Company and the stockholders signatory thereto or (v) any applicable securities Laws; (e) Holder is sophisticated in financial matters and is able to evaluate the risks and benefits of holding its Subject Company Equity Securities; (f) Holder acknowledges that it has had the opportunity to review this Agreement and the transactions contemplated by this Agreement with Holder’s own legal counsel, investment and tax advisors; (g) Holder is not relying on any statements or representations of the Company or any of its representatives or agents for legal, tax or investment advice with respect to this Agreement or the transactions contemplated by the Merger Agreement; (h) there are no Actions pending against Holder or, to the knowledge of Holder, threatened against Holder, before (or, in the case of threatened Actions, that would be before) any Authority, which in any manner challenges or seeks to prevent, enjoin or materially delay the performance by Holder of Holder’s obligations under this Agreement; and (i) no broker, finder, investment banker or other Person is entitled to any brokerage fee, finders’ fee or other commission in connection with this Agreement or any of the respective transactions contemplated hereby, based upon arrangements made by Holder.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2" w:name="page293"/>
    <w:bookmarkEnd w:id="292"/>
    <w:p>
      <w:pPr>
        <w:jc w:val="both"/>
        <w:ind w:firstLine="656"/>
        <w:spacing w:after="0" w:line="254" w:lineRule="auto"/>
        <w:tabs>
          <w:tab w:leader="none" w:pos="1359"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any notice or other action by any Party, and upon the earlier of (a) the Effective Time and (b) the termination of the Merger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shall not affect any liability on the part of any Party for a Willful Breach of any covenant or agreement set forth in this Agreement prior to such termination or Fraud, and</w:t>
      </w:r>
    </w:p>
    <w:p>
      <w:pPr>
        <w:spacing w:after="0" w:line="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shall each survive the termination of this Agreement.</w:t>
      </w:r>
    </w:p>
    <w:p>
      <w:pPr>
        <w:spacing w:after="0" w:line="206" w:lineRule="exact"/>
        <w:rPr>
          <w:rFonts w:ascii="Times New Roman" w:cs="Times New Roman" w:eastAsia="Times New Roman" w:hAnsi="Times New Roman"/>
          <w:sz w:val="18"/>
          <w:szCs w:val="18"/>
          <w:color w:val="auto"/>
        </w:rPr>
      </w:pPr>
    </w:p>
    <w:p>
      <w:pPr>
        <w:jc w:val="both"/>
        <w:ind w:firstLine="656"/>
        <w:spacing w:after="0" w:line="253" w:lineRule="auto"/>
        <w:tabs>
          <w:tab w:leader="none" w:pos="1345"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Except for claims pursuant to the Merger Agreement or any other Additional Agreement by any party(ies) thereto against any other party(ies) thereto,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any Affiliate of the Company or any Affiliate of Parent (other than Holder, on the terms and subject to the conditions set forth herein), and (b) none of the Affiliates of the Company or the Affiliates of Parent (other than Holder, on the terms and subject to the conditions set forth herein)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as expressly provided herein, or for any actual or alleged inaccuracies, misstatements or omissions with respect to any information or materials of any kind furnished in connection with this Agreement, the negotiation hereof or the transactions contemplated hereby.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3" w:name="page294"/>
    <w:bookmarkEnd w:id="293"/>
    <w:p>
      <w:pPr>
        <w:ind w:left="1280" w:hanging="624"/>
        <w:spacing w:after="0"/>
        <w:tabs>
          <w:tab w:leader="none" w:pos="128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58"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(i) acknowledges that Parent and the Company may possess or have access to material non-public information which has not been communicated to Parent Shareholder; (ii) hereby waives any and all claims, whether at law, in equity or otherwise, that he, she, or it may now have or may hereafter acquire, whether presently known or unknown, against Parent or the Company or any of their respective officers, directors, employees, agents, affiliates, subsidiaries, successors or assigns relating to any failure to disclose any non-public information in connection with the transactions contemplated by this Agreement, including any such claims arising under the securities or other laws, rules and regulations, and (iii) is aware that Parent and the Company are relying on the foregoing acknowledgement and waiver in clauses (i) and (ii) above, respectively, in connection with the transactions contemplated by this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73"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has read the Final Prospectus of Parent, dated August 3, 2020 (the “</w:t>
      </w:r>
      <w:r>
        <w:rPr>
          <w:rFonts w:ascii="Times New Roman" w:cs="Times New Roman" w:eastAsia="Times New Roman" w:hAnsi="Times New Roman"/>
          <w:sz w:val="18"/>
          <w:szCs w:val="18"/>
          <w:u w:val="single" w:color="auto"/>
          <w:color w:val="auto"/>
        </w:rPr>
        <w:t>Parent Prospectus</w:t>
      </w:r>
      <w:r>
        <w:rPr>
          <w:rFonts w:ascii="Times New Roman" w:cs="Times New Roman" w:eastAsia="Times New Roman" w:hAnsi="Times New Roman"/>
          <w:sz w:val="18"/>
          <w:szCs w:val="18"/>
          <w:color w:val="auto"/>
        </w:rPr>
        <w:t>”), and understands that Parent has established a “trust account,” initially in an amount of at least $160.0 million for the benefit of the “public stockholders” and the underwriters of Parent’s initial public offering and that, except for (i) interest earned on the trust account that may be released to Parent to pay any taxes it incurs, and (ii) interest earned by the trust account that may be released to Parent from time to time to fund Parent’s working capital and general corporate requirements, proceeds in the trust account will not be released until (A) the consummation of a Business Combination (as defined in the Parent Prospectus) or (B) the dissolution and liquidation of Parent if it is unable to consummate a Business Combination within the allotted time. For and in consideration of Parent entering into this Agreement with Holder, each Parent Shareholder hereby agrees that it does not have any right, title, interest or claim of any kind in or to any monies in the trust account (other than in connection with redemption rights or the dissolution of Parent)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and hereby waives any Claim it may have in the future as a result of, or arising out of, any negotiations, contracts or agreements with Parent and will not seek recourse against the trust account for any reason whatsoever, other than in connection with redemption rights or the dissolution of Parent.</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2"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partners or participants in a joint venture.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4" w:name="page295"/>
    <w:bookmarkEnd w:id="294"/>
    <w:p>
      <w:pPr>
        <w:jc w:val="both"/>
        <w:ind w:left="-20" w:firstLine="656"/>
        <w:spacing w:after="0" w:line="261" w:lineRule="auto"/>
        <w:tabs>
          <w:tab w:leader="none" w:pos="1609"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xml:space="preserve">. Sections 1.2 (Construction), 12.2 (Amendments; No Waivers; Remedies), 12.6 (No Assignment or Delegation), 12.7 (Governing Law), 12.8 (Counterparts; Facsimile Signatures), 12.9 (Entire Agreement), 12.10 (Severability), 12.15 (Waiver of Jury Trial), 12.16 (Submission to Jurisdiction), and 12.18 (Remedies) of the Merger Agreement are incorporated herein by reference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caused this Agreement to be duly executed on its behalf as of the day and year first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written.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HEALTH SCIENCES ACQUISITIONS CORPORATION 2</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1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33" w:right="499" w:bottom="1440" w:gutter="0" w:footer="0" w:header="0"/>
        </w:sectPr>
      </w:pPr>
    </w:p>
    <w:bookmarkStart w:id="296" w:name="page297"/>
    <w:bookmarkEnd w:id="296"/>
    <w:p>
      <w:pPr>
        <w:ind w:left="4520"/>
        <w:spacing w:after="0"/>
        <w:rPr>
          <w:sz w:val="20"/>
          <w:szCs w:val="20"/>
          <w:color w:val="auto"/>
        </w:rPr>
      </w:pPr>
      <w:r>
        <w:rPr>
          <w:rFonts w:ascii="Times New Roman" w:cs="Times New Roman" w:eastAsia="Times New Roman" w:hAnsi="Times New Roman"/>
          <w:sz w:val="18"/>
          <w:szCs w:val="18"/>
          <w:b w:val="1"/>
          <w:bCs w:val="1"/>
          <w:color w:val="auto"/>
        </w:rPr>
        <w:t>ORCHESTRA BIOMED,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David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David Hochman</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Support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462915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97" w:name="page298"/>
    <w:bookmarkEnd w:id="297"/>
    <w:p>
      <w:pPr>
        <w:ind w:left="45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COVIDIEN GROUP S.À.R.L.</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Erik De Gres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Erik De Gres</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General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154305</wp:posOffset>
            </wp:positionV>
            <wp:extent cx="35572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154305</wp:posOffset>
            </wp:positionV>
            <wp:extent cx="35572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Series B-1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154305</wp:posOffset>
            </wp:positionV>
            <wp:extent cx="35572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Series D-1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154305</wp:posOffset>
            </wp:positionV>
            <wp:extent cx="35572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Series D-2 Preferred Stock:</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8,602,150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35572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154305</wp:posOffset>
            </wp:positionV>
            <wp:extent cx="35572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Support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231775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10.6</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AND LOCK-UP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AMENDED AND RESTATED REGISTRATION RIGHTS AND LOCK-UP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2022, is made and entered into by and among, (i) Health Sciences Acquisitions Corporation 2,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(ii) the equityholders designated as Sponsor Equityholders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b w:val="1"/>
          <w:bCs w:val="1"/>
          <w:i w:val="1"/>
          <w:iCs w:val="1"/>
          <w:color w:val="auto"/>
        </w:rPr>
        <w:t>Sponsor Equityholders</w:t>
      </w:r>
      <w:r>
        <w:rPr>
          <w:rFonts w:ascii="Times New Roman" w:cs="Times New Roman" w:eastAsia="Times New Roman" w:hAnsi="Times New Roman"/>
          <w:sz w:val="18"/>
          <w:szCs w:val="18"/>
          <w:color w:val="auto"/>
        </w:rPr>
        <w:t xml:space="preserve">”); and (iii) certain stockholders of Orchestra BioMed, Inc. designated as Legacy Orchestra Equityholders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Legacy Orchestra Equityholders</w:t>
      </w:r>
      <w:r>
        <w:rPr>
          <w:rFonts w:ascii="Times New Roman" w:cs="Times New Roman" w:eastAsia="Times New Roman" w:hAnsi="Times New Roman"/>
          <w:sz w:val="18"/>
          <w:szCs w:val="18"/>
          <w:color w:val="auto"/>
        </w:rPr>
        <w:t>” and, together with the Sponsor Equityholders and any person or entity who hereafter becomes a party to this Agreement pursuant to Section 6.2 of this Agreement,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Capitalized terms used but not otherwise defined in this Agreement shall have the meanings ascribed to such terms in the Merger Agreement (as defined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Sponsor Equityholders are parties to that certain Registration Rights Agreement, entered into as of August 3, 2020 (the “</w:t>
      </w:r>
      <w:r>
        <w:rPr>
          <w:rFonts w:ascii="Times New Roman" w:cs="Times New Roman" w:eastAsia="Times New Roman" w:hAnsi="Times New Roman"/>
          <w:sz w:val="18"/>
          <w:szCs w:val="18"/>
          <w:b w:val="1"/>
          <w:bCs w:val="1"/>
          <w:i w:val="1"/>
          <w:iCs w:val="1"/>
          <w:color w:val="auto"/>
        </w:rPr>
        <w:t>Prior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WHEREAS, the Company, HSAC Olympus Merger Sub, Inc., a Delaware corporation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Orchestra BioMed, Inc., a Delaware corporation (“</w:t>
      </w:r>
      <w:r>
        <w:rPr>
          <w:rFonts w:ascii="Times New Roman" w:cs="Times New Roman" w:eastAsia="Times New Roman" w:hAnsi="Times New Roman"/>
          <w:sz w:val="18"/>
          <w:szCs w:val="18"/>
          <w:b w:val="1"/>
          <w:bCs w:val="1"/>
          <w:i w:val="1"/>
          <w:iCs w:val="1"/>
          <w:color w:val="auto"/>
        </w:rPr>
        <w:t>Legacy Orchestra</w:t>
      </w:r>
      <w:r>
        <w:rPr>
          <w:rFonts w:ascii="Times New Roman" w:cs="Times New Roman" w:eastAsia="Times New Roman" w:hAnsi="Times New Roman"/>
          <w:sz w:val="18"/>
          <w:szCs w:val="18"/>
          <w:color w:val="auto"/>
        </w:rPr>
        <w:t>”), are party to that certain Agreement and Plan of Merger, dated as of [●], 2022 (as amended or restated from time to time,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pursuant to which the Company changed its jurisdiction of incorporation from the Cayman Islands to the State of Delaware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and on the date hereof: (a) Merger Sub will merge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and into Legacy Orchestra, with Legacy Orchestra surviving the Merger as a wholly owned subsidiary of the Company, and (b) the Company will change its name to “Orchestra BioMed, Inc.”;</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Legacy Orchestra Equityholders and the Sponsor Equityholders are receiving shares of Common Stock, par value $0.0001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on or about the date hereof, pursuant to the Merger Agreement (the “</w:t>
      </w:r>
      <w:r>
        <w:rPr>
          <w:rFonts w:ascii="Times New Roman" w:cs="Times New Roman" w:eastAsia="Times New Roman" w:hAnsi="Times New Roman"/>
          <w:sz w:val="18"/>
          <w:szCs w:val="18"/>
          <w:b w:val="1"/>
          <w:bCs w:val="1"/>
          <w:i w:val="1"/>
          <w:iCs w:val="1"/>
          <w:color w:val="auto"/>
        </w:rPr>
        <w:t>Merger 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in connection with the consummation of the Merger, the parties to the Prior Agreement desire to amend and restate the Prior Agreement in its entirety as set forth herein, and the parties hereto desire to enter into this Agreement pursuant to which the Company shall grant the Holders certain registration rights with respect to the Registrable Securities (as defined below) on the terms and conditions set forth in this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6.7 of the Prior Agreement, no amendment, modification or termination of the Prior Agreement shall be binding upon any party unless executed in writing by such party; and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all of the parties to the Prior Agreement desire to amend and restate the Prior Agreement in its entirety and enter into this Agreement, pursuant to which the Company shall grant the Holders certain registration rights with respect to certain securities of the Company, as set forth in this Agreement, effective as of the Closing.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The terms defined in this Article I shall, for all purposes of this Agreement, have the respective meanings set forth below:</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shall mean any public disclosure of material non-public information, which disclosure, in the good faith judgment of the Chief Executive Officer or Chief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99" w:name="page300"/>
    <w:bookmarkEnd w:id="29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Backstop Agreement</w:t>
      </w:r>
      <w:r>
        <w:rPr>
          <w:rFonts w:ascii="Times New Roman" w:cs="Times New Roman" w:eastAsia="Times New Roman" w:hAnsi="Times New Roman"/>
          <w:sz w:val="18"/>
          <w:szCs w:val="18"/>
          <w:color w:val="auto"/>
        </w:rPr>
        <w:t>” shall mean that certain Backstop Agreement, dated as of [•], 2022 by and among the Company, Orchestra BioMed,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purchasing parties signatory thereto.</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Block Trade</w:t>
      </w:r>
      <w:r>
        <w:rPr>
          <w:rFonts w:ascii="Times New Roman" w:cs="Times New Roman" w:eastAsia="Times New Roman" w:hAnsi="Times New Roman"/>
          <w:sz w:val="18"/>
          <w:szCs w:val="18"/>
          <w:color w:val="auto"/>
        </w:rPr>
        <w:t>” shall mean an offering and/or sale of Registrable Securities by any Holder on a block trade or underwritten or other coordinated basis (whether firm commitment or otherwise) without substantial marketing efforts prior to pricing, including, without limitation, a same day trade, overnight trade or similar transaction.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mean any transfer (whether by tender offer, merger, stock purchase, consolidation or other similar transaction), in one transaction or a series of related transactions, to a person or group of affiliated persons of the Company’s voting securities if, after such transfer, such person or group of affiliated persons would hold more than 50% of outstanding voting securities of the Company (or surviving entity) or would otherwise have the power to control the Board or to direct the operations of the Company.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Commitment Shares</w:t>
      </w:r>
      <w:r>
        <w:rPr>
          <w:rFonts w:ascii="Times New Roman" w:cs="Times New Roman" w:eastAsia="Times New Roman" w:hAnsi="Times New Roman"/>
          <w:sz w:val="18"/>
          <w:szCs w:val="18"/>
          <w:color w:val="auto"/>
        </w:rPr>
        <w:t>” shall mean any shares of Common Stock that the Sponsor Equityholders or their respective designees receive in connection with the Domestication or the Closing, including as a result of purchases contemplated by the Sponsor Forward Purchase Agreement (as defined below), the Backstop Agreement, and any other Additional Agreement or any ancillary agreements with Orchestra BioMed, Inc. which designate such shares as Commitment Shares under this Agreement.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Covidien Forward Purchase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mean any shares of Common Stock that Covidien Group or its designees receive in connection with the Domestication as a result of purchases contemplated by the Covidien Forward Purchase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Election Agreement</w:t>
      </w:r>
      <w:r>
        <w:rPr>
          <w:rFonts w:ascii="Times New Roman" w:cs="Times New Roman" w:eastAsia="Times New Roman" w:hAnsi="Times New Roman"/>
          <w:sz w:val="18"/>
          <w:szCs w:val="18"/>
          <w:color w:val="auto"/>
        </w:rPr>
        <w:t>” shall have the meaning given in the Merger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color w:val="auto"/>
        </w:rPr>
        <w:t>” shall have the meaning given in the Merger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Forward Purchase Agreements</w:t>
      </w:r>
      <w:r>
        <w:rPr>
          <w:rFonts w:ascii="Times New Roman" w:cs="Times New Roman" w:eastAsia="Times New Roman" w:hAnsi="Times New Roman"/>
          <w:sz w:val="18"/>
          <w:szCs w:val="18"/>
          <w:color w:val="auto"/>
        </w:rPr>
        <w:t>” shall mean, collectively, that certain Forward Purchase Agreement by and among the Company, Orchestra BioMed, Inc., and certain funds managed by RTW Investments, LP as Purchasing Parties (the “</w:t>
      </w:r>
      <w:r>
        <w:rPr>
          <w:rFonts w:ascii="Times New Roman" w:cs="Times New Roman" w:eastAsia="Times New Roman" w:hAnsi="Times New Roman"/>
          <w:sz w:val="18"/>
          <w:szCs w:val="18"/>
          <w:b w:val="1"/>
          <w:bCs w:val="1"/>
          <w:i w:val="1"/>
          <w:iCs w:val="1"/>
          <w:color w:val="auto"/>
        </w:rPr>
        <w:t>Sponsor Forward Purchase Agreement</w:t>
      </w:r>
      <w:r>
        <w:rPr>
          <w:rFonts w:ascii="Times New Roman" w:cs="Times New Roman" w:eastAsia="Times New Roman" w:hAnsi="Times New Roman"/>
          <w:sz w:val="18"/>
          <w:szCs w:val="18"/>
          <w:color w:val="auto"/>
        </w:rPr>
        <w:t>”), and that certain Forward Purchase Agreement by and among the Company, Orchestra BioMed, Inc., and Covidien Group S.à.r.l. (“</w:t>
      </w:r>
      <w:r>
        <w:rPr>
          <w:rFonts w:ascii="Times New Roman" w:cs="Times New Roman" w:eastAsia="Times New Roman" w:hAnsi="Times New Roman"/>
          <w:sz w:val="18"/>
          <w:szCs w:val="18"/>
          <w:b w:val="1"/>
          <w:bCs w:val="1"/>
          <w:i w:val="1"/>
          <w:iCs w:val="1"/>
          <w:color w:val="auto"/>
        </w:rPr>
        <w:t>Covidien Group</w:t>
      </w:r>
      <w:r>
        <w:rPr>
          <w:rFonts w:ascii="Times New Roman" w:cs="Times New Roman" w:eastAsia="Times New Roman" w:hAnsi="Times New Roman"/>
          <w:sz w:val="18"/>
          <w:szCs w:val="18"/>
          <w:color w:val="auto"/>
        </w:rPr>
        <w:t>”), an affiliate of Medtronic plc (the “</w:t>
      </w:r>
      <w:r>
        <w:rPr>
          <w:rFonts w:ascii="Times New Roman" w:cs="Times New Roman" w:eastAsia="Times New Roman" w:hAnsi="Times New Roman"/>
          <w:sz w:val="18"/>
          <w:szCs w:val="18"/>
          <w:b w:val="1"/>
          <w:bCs w:val="1"/>
          <w:color w:val="auto"/>
        </w:rPr>
        <w:t>Covidien Forward Purchase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shall mean the 4,000,000 shares of Common Stock of the Company issued to the Company’s initial shareholders in connection with the Domestication upon the conversion of the 4,000,000 ordinary shares, par value $0.0001 per share of the Company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issued to such initial shareholders prior to the Company’s initial public offering.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shall have the meaning given in the Preamble, for so long as such person or entity holds any Registrable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shall have the meaning given in Section 4.1.1.</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0" w:name="page301"/>
    <w:bookmarkEnd w:id="30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shall mean: (a) with respect to any Sponsor Equityholder, any person or entity to whom a Holder of Registrable Securities is permitted to transfer such Registrable Securities prior to the expiration of the Lock-up Period on approval of both the Company and the Sponsor, and (b) any person or entity to whom a Holder of Registrable Securities is permitted to transfer such Registrable Securities prior to the expiration of the Lock-up Period under this Agreement and any other applicable agreement between such Holder and the Company, and to any transferee thereafter.</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Shares</w:t>
      </w:r>
      <w:r>
        <w:rPr>
          <w:rFonts w:ascii="Times New Roman" w:cs="Times New Roman" w:eastAsia="Times New Roman" w:hAnsi="Times New Roman"/>
          <w:sz w:val="18"/>
          <w:szCs w:val="18"/>
          <w:color w:val="auto"/>
        </w:rPr>
        <w:t>” shall mean the 450,000 shares of Common Stock issued by the Company in connection with the Domestication upon the conversion of Ordinary Shares that were privately purchased simultaneously with the consummation of the Company’s initial public offering.</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shall mean the 1,500,000 warrants to purchase Common Stock issued by the Company in connection with the Domestication upon the conversion of 1,500,000 warrants to purchase Ordinary Shares issued by the Company that were privately purchased simultaneously with the consummation of the Company’s initial public offering.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Security</w:t>
      </w:r>
      <w:r>
        <w:rPr>
          <w:rFonts w:ascii="Times New Roman" w:cs="Times New Roman" w:eastAsia="Times New Roman" w:hAnsi="Times New Roman"/>
          <w:sz w:val="18"/>
          <w:szCs w:val="18"/>
          <w:color w:val="auto"/>
        </w:rPr>
        <w:t xml:space="preserve">” shall mean (a) the Merger Shares (b) the Founder Shares, (c) the Private Shares, (c) the Private Warrants and the Common Stock issued or issuable upon the exercise of the Private Warrants, (d) the Working Capital Warrants and any shares of Common Stock issued or issuable upon the exercise of the Working Capital Warrants, (e) the Commitment Shares, (f) the Earnout Shares, (g) the Covidien Forward Purchase Shares, (h) any outstanding share of the Common Stock or any other equity security (including the shares of Common Stock issued or issuable upon the exercise of any other equity security) of the Company held by a Holder as of the date of this Agreement and (i) any other equity security of the Company issued or issuable with respect to any such share of the Common Stock by way of a stock dividend or stock split or in connection with a combination of shares, recapitalization, merger, consolidation, spin-off, reorganization or similar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upon the earliest occur of: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(other than to a Permitted Transferee), new certificates for such securities not bearing (or book entry positions not subject to)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(but with no volume or other restrictions or limitations); or (E) such securities have been sold to, or through, a broker, dealer or underwriter in a public distribution or other public securities transaction.</w:t>
      </w:r>
      <w:r>
        <w:rPr>
          <w:rFonts w:ascii="Times New Roman" w:cs="Times New Roman" w:eastAsia="Times New Roman" w:hAnsi="Times New Roman"/>
          <w:sz w:val="29"/>
          <w:szCs w:val="29"/>
          <w:color w:val="auto"/>
          <w:vertAlign w:val="superscript"/>
        </w:rPr>
        <w:t>1</w:t>
      </w:r>
    </w:p>
    <w:p>
      <w:pPr>
        <w:spacing w:after="0" w:line="3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shall mean a registration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shall mean the out-of-pocket expenses of a Registration, including, without limitation,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4230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1" w:name="page302"/>
    <w:bookmarkEnd w:id="301"/>
    <w:p>
      <w:pPr>
        <w:ind w:firstLine="656"/>
        <w:spacing w:after="0" w:line="282" w:lineRule="auto"/>
        <w:tabs>
          <w:tab w:leader="none" w:pos="1232"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97"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5"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87"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08"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Underwritten Offering, reasonable and documented fees and expenses of one (1) legal counsel selected by the majority-in-interest of the Demanding Holders; and</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239"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of the Company and any of its officers, directors, counsel or other representatives in connection with presentations or meetings undertaken in connection with the offering of the Registrable Securities, including, without limitation, expenses associated with the production of road show slides and graphics and the production and hosting of any electronic road shows, fees and expenses of any consultants engaged in connection with road show presentations, and travel, lodging, transportation, and other expenses of the officers, directors, counsel and other representatives of the Company incurred in connection with any such presentations or meetings.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any registration statement filed by the Company with the Commission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shall mean the Form S-1 Shelf, the Form S-3 Shelf or any subsequent Shelf Registration.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Registration</w:t>
      </w:r>
      <w:r>
        <w:rPr>
          <w:rFonts w:ascii="Times New Roman" w:cs="Times New Roman" w:eastAsia="Times New Roman" w:hAnsi="Times New Roman"/>
          <w:sz w:val="18"/>
          <w:szCs w:val="18"/>
          <w:color w:val="auto"/>
        </w:rPr>
        <w:t>” shall mean a registration of securities pursuant to a Registration Statement filed with the Commission in accordance with and pursuant to Rule 415 promulgated under the Securities Act (or any successor rule then in effect).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shall mean HSAC 2 Holdings,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 Forward Purchase Agreement</w:t>
      </w:r>
      <w:r>
        <w:rPr>
          <w:rFonts w:ascii="Times New Roman" w:cs="Times New Roman" w:eastAsia="Times New Roman" w:hAnsi="Times New Roman"/>
          <w:sz w:val="18"/>
          <w:szCs w:val="18"/>
          <w:color w:val="auto"/>
        </w:rPr>
        <w:t>” shall have the meaning given in the definition of “Forward Purchase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the (a) the sale or assignment of, offer to sell, contract or agreement to sell,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2" w:name="page303"/>
    <w:bookmarkEnd w:id="30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Working Capital Warrants</w:t>
      </w:r>
      <w:r>
        <w:rPr>
          <w:rFonts w:ascii="Times New Roman" w:cs="Times New Roman" w:eastAsia="Times New Roman" w:hAnsi="Times New Roman"/>
          <w:sz w:val="18"/>
          <w:szCs w:val="18"/>
          <w:color w:val="auto"/>
        </w:rPr>
        <w:t>” shall mean any warrants issued in payment for working capital loans from the Sponsor to the Company, including any warrants issued by the Company in connection with the Domestication upon the conversion of warrants issued in payment for working capital loans from the Sponsor.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REGISTRATIONS</w:t>
      </w:r>
    </w:p>
    <w:p>
      <w:pPr>
        <w:spacing w:after="0" w:line="20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Shelf Registration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The Company shall as soon as reasonably practicable, but in any event within forty-five (45) days after the Closing Date, file with the Commission a Registration Statement for a Shelf Registration on Form S-1 (the “</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covering, subject to Section 3.4, the public resale of all of the Registrable Securities (determined as of two (2) business days prior to such filing) on a delayed or continuous basis and shall use its commercially reasonable efforts to cause such Form S-1 Shelf to be declared effective as soon as practicable after the filing thereof, but in no event later than the earlier of (i) the 30th calendar day (or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if the Commission notifies the Company that it will “review” the Registration Statement) following the filing of the Registration Statement and (ii)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date the Company is notified (orally or in writing, whichever is earlier) by the Commission that the Registration Statement will not be “reviewed” or will not be subject to further review. Such Form S-1 Shelf shall provide for the resale of the Registrable Securities included therein pursuant to any method or combination of methods legally available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Following the filing of a Form S-1 Shelf, the Company shall use its commercially reasonable efforts to convert the Form S-1 Shelf (and any Subsequent Shelf Registration) to a Registration Statement on Form S-3 (the “</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as soon as reasonably practicable after the Company is eligible to use Form S-3. As soon as reasonably practicable following the effective date of a Registration Statement filed pursuant to this Section 2.1.1, but in any event within one (1) business day of such date, the Company shall notify the Holders of the effectiveness of such Registration Statement. The Company’s obligation under this Section 2.1.1 shall, for the avoidance of doubt be subject to Section 3.4 hereto.</w:t>
      </w:r>
    </w:p>
    <w:p>
      <w:pPr>
        <w:spacing w:after="0" w:line="21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Subsequent Shelf Registration</w:t>
      </w:r>
      <w:r>
        <w:rPr>
          <w:rFonts w:ascii="Times New Roman" w:cs="Times New Roman" w:eastAsia="Times New Roman" w:hAnsi="Times New Roman"/>
          <w:sz w:val="18"/>
          <w:szCs w:val="18"/>
          <w:color w:val="auto"/>
        </w:rPr>
        <w:t>. If any Shelf ceases to be effective under the Securities Act for any reason at any time while Registrable Securities are still outstanding, the Company shall, subject to Section 3.4, use its commercially reasonable efforts to as promptly as is reasonably practicable cause such Shelf to again become effective under the Securities Act (including using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 w:cs="Times New Roman" w:eastAsia="Times New Roman" w:hAnsi="Times New Roman"/>
          <w:sz w:val="18"/>
          <w:szCs w:val="18"/>
          <w:b w:val="1"/>
          <w:bCs w:val="1"/>
          <w:i w:val="1"/>
          <w:iCs w:val="1"/>
          <w:color w:val="auto"/>
        </w:rPr>
        <w:t>Subsequent Shelf Registration</w:t>
      </w:r>
      <w:r>
        <w:rPr>
          <w:rFonts w:ascii="Times New Roman" w:cs="Times New Roman" w:eastAsia="Times New Roman" w:hAnsi="Times New Roman"/>
          <w:sz w:val="18"/>
          <w:szCs w:val="18"/>
          <w:color w:val="auto"/>
        </w:rPr>
        <w:t>”) registering the resale of all Registrable Securities (determined as of two (2) business days prior to such filing), and pursuant to any method or combination of methods legally available to, and requested by, any Holder named therein. If a Subsequent Shelf Registration is filed, the Company shall use its commercially reasonable efforts to (i) cause such Subsequent Shelf Registration to become effective under the Securities Act as promptly as is reasonably practicable after the filing thereof (it being agreed that the Subsequent Shelf Registration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shall be on Form S-3 to the extent that the Company is eligible to use such form. Otherwise, such Subsequent Shelf Registration shall be on another appropriate form. The Company’s obligation under this Section 2.1.2 shall, for the avoidance of doubt be subject to Section 3.4 hereto.</w:t>
      </w:r>
    </w:p>
    <w:p>
      <w:pPr>
        <w:spacing w:after="0" w:line="19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Requests for Underwritten Shelf Takedowns</w:t>
      </w:r>
      <w:r>
        <w:rPr>
          <w:rFonts w:ascii="Times New Roman" w:cs="Times New Roman" w:eastAsia="Times New Roman" w:hAnsi="Times New Roman"/>
          <w:sz w:val="18"/>
          <w:szCs w:val="18"/>
          <w:color w:val="auto"/>
        </w:rPr>
        <w:t>. At any time and from time to time when an effective Shelf is on file with the Commission, any one or more Holder (any Holder being, in such case, a “</w:t>
      </w:r>
      <w:r>
        <w:rPr>
          <w:rFonts w:ascii="Times New Roman" w:cs="Times New Roman" w:eastAsia="Times New Roman" w:hAnsi="Times New Roman"/>
          <w:sz w:val="18"/>
          <w:szCs w:val="18"/>
          <w:b w:val="1"/>
          <w:bCs w:val="1"/>
          <w:i w:val="1"/>
          <w:iCs w:val="1"/>
          <w:color w:val="auto"/>
        </w:rPr>
        <w:t>Demanding Holder</w:t>
      </w:r>
      <w:r>
        <w:rPr>
          <w:rFonts w:ascii="Times New Roman" w:cs="Times New Roman" w:eastAsia="Times New Roman" w:hAnsi="Times New Roman"/>
          <w:sz w:val="18"/>
          <w:szCs w:val="18"/>
          <w:color w:val="auto"/>
        </w:rPr>
        <w:t>”) may request to sell all or any portion of their Registrable Securities in an underwritten offering that is registered pursuant to the Shelf (each, an “</w:t>
      </w:r>
      <w:r>
        <w:rPr>
          <w:rFonts w:ascii="Times New Roman" w:cs="Times New Roman" w:eastAsia="Times New Roman" w:hAnsi="Times New Roman"/>
          <w:sz w:val="18"/>
          <w:szCs w:val="18"/>
          <w:b w:val="1"/>
          <w:bCs w:val="1"/>
          <w:i w:val="1"/>
          <w:iCs w:val="1"/>
          <w:color w:val="auto"/>
        </w:rPr>
        <w:t>Underwritten Shelf Takedown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only be obligated to effect an Underwritten Offering if such offering: (i) shall include Registrable Securities proposed to be sold by the Demanding Holder(s), either individually or together with other Demanding Holders, with a total offering price reasonably expected to exceed, in the aggregate, $25 million (the “</w:t>
      </w:r>
      <w:r>
        <w:rPr>
          <w:rFonts w:ascii="Times New Roman" w:cs="Times New Roman" w:eastAsia="Times New Roman" w:hAnsi="Times New Roman"/>
          <w:sz w:val="18"/>
          <w:szCs w:val="18"/>
          <w:b w:val="1"/>
          <w:bCs w:val="1"/>
          <w:i w:val="1"/>
          <w:iCs w:val="1"/>
          <w:color w:val="auto"/>
        </w:rPr>
        <w:t>Minimum Takedown Threshold</w:t>
      </w:r>
      <w:r>
        <w:rPr>
          <w:rFonts w:ascii="Times New Roman" w:cs="Times New Roman" w:eastAsia="Times New Roman" w:hAnsi="Times New Roman"/>
          <w:sz w:val="18"/>
          <w:szCs w:val="18"/>
          <w:color w:val="auto"/>
        </w:rPr>
        <w:t xml:space="preserve">”), or (ii) is comprised of all remaining Registrable Securities held by the Demanding Holder. All requests for Underwritten Shelf Takedowns shall be made by giving written notice to the Company, which shall specify the approximate number of Registrable Securities proposed to be sold in the Underwritten Offering. Subject to Section 2.3.4, a majority-in-interest of the Demanding Holders shall have the right to select the Underwriters for such offering (which shall consist of one or more reputable nationally recognized investment banks), subject to the Company’s prior approval (which shall not be unreasonably withheld, conditioned or delayed). The Legacy Orchestra Equityholders, on the one hand, and the Sponsor Equityholders, on the other hand, may each demand not more than one (1) Underwritten Shelf Takedown pursuant to this Section 2.1.3 within any nine (9)-month period;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Demanding Holder may request an Underwritten Shelf Takedown during the six-month period following the closing of a prior Underwritten Shelf Takedown. Notwithstanding anything to the contrary in this Agreement, the Company may effect any Underwritten Offering pursuant to any then effective Registration Statement, including a Form S-3, that is then available for such offering.</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3" w:name="page304"/>
    <w:bookmarkEnd w:id="30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Shelf Takedown, in good faith, advises the Company, the Demanding Holders and Holders requesting piggyback rights pursuant to this Agreement with respect to such Underwritten Shelf Takedown (the “</w:t>
      </w:r>
      <w:r>
        <w:rPr>
          <w:rFonts w:ascii="Times New Roman" w:cs="Times New Roman" w:eastAsia="Times New Roman" w:hAnsi="Times New Roman"/>
          <w:sz w:val="18"/>
          <w:szCs w:val="18"/>
          <w:b w:val="1"/>
          <w:bCs w:val="1"/>
          <w:i w:val="1"/>
          <w:iCs w:val="1"/>
          <w:color w:val="auto"/>
        </w:rPr>
        <w:t>Requesting Holders</w:t>
      </w:r>
      <w:r>
        <w:rPr>
          <w:rFonts w:ascii="Times New Roman" w:cs="Times New Roman" w:eastAsia="Times New Roman" w:hAnsi="Times New Roman"/>
          <w:sz w:val="18"/>
          <w:szCs w:val="18"/>
          <w:color w:val="auto"/>
        </w:rPr>
        <w:t>”) (if any) in writing that the dollar amount or number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as to which a Registration has been requested pursuant to separate written contractual piggyback registration rights entered into after the date hereof held by any other stockholders who desire to sell, exceeds the maximum dollar amount or maximum number of equity securities that can be sold in the Underwritten Offering without materially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Times New Roman" w:cs="Times New Roman" w:eastAsia="Times New Roman" w:hAnsi="Times New Roman"/>
          <w:sz w:val="18"/>
          <w:szCs w:val="18"/>
          <w:b w:val="1"/>
          <w:bCs w:val="1"/>
          <w:i w:val="1"/>
          <w:iCs w:val="1"/>
          <w:color w:val="auto"/>
        </w:rPr>
        <w:t>Pro Rata</w:t>
      </w:r>
      <w:r>
        <w:rPr>
          <w:rFonts w:ascii="Times New Roman" w:cs="Times New Roman" w:eastAsia="Times New Roman" w:hAnsi="Times New Roman"/>
          <w:sz w:val="18"/>
          <w:szCs w:val="18"/>
          <w:color w:val="auto"/>
        </w:rPr>
        <w:t>”)) that can be sold without exceeding the Maximum Number of Securities; (ii) second, to the extent that the Maximum Number of Securities has not been reached under the foregoing clause (i), the shares of Common Stock or other equity securities that the Company desires to sell, which can be sold without exceeding the Maximum Number of Securities; and (iii) third, to the extent that the Maximum Number of Securities has not been reached under the foregoing clauses (i) and (ii), the shares of Common Stock or other equity securities of other persons or entities that the Company is obligated to register in a Registration pursuant to separate written contractual arrangements entered into after the date hereof with such persons and that can be sold without exceeding the Maximum Number of Securities.</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Prior to the pricing of an Underwritten Shelf Takedown, a majority-in-interest of the Demanding Holders initiating such Underwritten Offering shall have the right to withdraw from a Registration pursuant to such Underwritten Offering for any or no reason whatsoever upon written notification (a “</w:t>
      </w:r>
      <w:r>
        <w:rPr>
          <w:rFonts w:ascii="Times New Roman" w:cs="Times New Roman" w:eastAsia="Times New Roman" w:hAnsi="Times New Roman"/>
          <w:sz w:val="18"/>
          <w:szCs w:val="18"/>
          <w:b w:val="1"/>
          <w:bCs w:val="1"/>
          <w:i w:val="1"/>
          <w:iCs w:val="1"/>
          <w:color w:val="auto"/>
        </w:rPr>
        <w:t>Withdrawal Notice</w:t>
      </w:r>
      <w:r>
        <w:rPr>
          <w:rFonts w:ascii="Times New Roman" w:cs="Times New Roman" w:eastAsia="Times New Roman" w:hAnsi="Times New Roman"/>
          <w:sz w:val="18"/>
          <w:szCs w:val="18"/>
          <w:color w:val="auto"/>
        </w:rPr>
        <w:t xml:space="preserve">”) to the Company and the Underwriter or Underwriters (if any) of their intention to withdraw from such Underwritten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Legacy Orchestra Equityholder or Sponsor Equityholder may elect to have the Company continue an Underwritten Offering if the Minimum Takedown Threshold would still be satisfied by the Registrable Securities proposed to be sold in the Underwritten Offering by the Legacy Orchestra Equityholders and the Sponsor Equityholders. If withdrawn, a demand for an Underwritten Offering shall constitute a demand for an Underwritten Offering by the withdrawing Demanding Holder for purposes of Section 2.1.3, unless either (i) such Demanding Holder has not previously withdrawn any Underwritten Offering or (ii) such Demanding Holder reimburses the Company for all Registration Expenses with respect to such Underwritten Offering (or, if there is more than one Demanding Holder,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such Registration Expenses based on the respective number of Registrable Securities that each Demanding Holder has requested be included in such Underwritten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Legacy Orchestra Equityholder or a Sponsor Equityholder elects to continue an Underwritten Offering pursuant to the proviso in the immediately preceding sentence, such Underwritten Offering shall instead count as an Underwritten Offering demanded by such Legacy Orchestra Equityholder or the Sponsor Equityholders, as applicable, for purposes of Section 2.1.3. Following the receipt of any Withdrawal Notice, the Company shall promptly forward such Withdrawal Notice to any other Holders that had elected to participate in such Underwritten Shelf Takedown. Notwithstanding anything to the contrary in this Agreement, the Company shall be responsible for the Registration Expenses incurred in connection with an Underwritten Shelf Takedown prior to its withdrawal under this Section 2.1.5, other than if a Demanding Holder elects to pay such Registration Expenses pursuant to clause (ii) of the second sentence of this Section 2.1.5.</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4" w:name="page305"/>
    <w:bookmarkEnd w:id="30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2.1.6 Notwithstanding the registration obligations set forth in this Section 2.1,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and use its commercially reasonable efforts to file amendments to the Registration Statement as required by the Commission and/or (ii) withdraw the Registration Statement and file a new registration statement (a “</w:t>
      </w:r>
      <w:r>
        <w:rPr>
          <w:rFonts w:ascii="Times New Roman" w:cs="Times New Roman" w:eastAsia="Times New Roman" w:hAnsi="Times New Roman"/>
          <w:sz w:val="18"/>
          <w:szCs w:val="18"/>
          <w:b w:val="1"/>
          <w:bCs w:val="1"/>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on Form S-3, or if Form S-3 is not then available to the Company for such registration statement, on such other form available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register for resale the Registrable Securities as a secondary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prior to filing such amendment or New Registration Statement, the Company shall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Guidance</w:t>
      </w:r>
      <w:r>
        <w:rPr>
          <w:rFonts w:ascii="Times New Roman" w:cs="Times New Roman" w:eastAsia="Times New Roman" w:hAnsi="Times New Roman"/>
          <w:sz w:val="18"/>
          <w:szCs w:val="18"/>
          <w:color w:val="auto"/>
        </w:rPr>
        <w:t>”), including without limitation, the Manual of Publicly Available Telephone Interpretations D.29. Notwithstanding any other provision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if any SEC Guidance sets forth a limitation of the number of Registrable Securities permitted to be registered on a particular Registration Statement as a secondary offering (and notwithstanding that the Company used commercially reasonable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be reduced on a pro rata basis based on the total number of Registrable Securities held by the Holders, subject to a determination by the Commission that certain Holders must be reduced first based on the number of Registrable Securities held by such Holders. In the event the Company amends the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Registration Statement, as amended, or the New Registration Statement.</w:t>
      </w:r>
    </w:p>
    <w:p>
      <w:pPr>
        <w:spacing w:after="0" w:line="19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Except with respect to withdrawals covered by Section 2.1.5, a Registration shall not count as a Registration unless and until (i) the Registration Statement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after such Registration Statement has been declared effective, an offering of Registrable Securities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Registration thereafter affirmatively elect to continue with such Registration and accordingly notify the Company in writing, but in no event later than five</w:t>
      </w:r>
    </w:p>
    <w:p>
      <w:pPr>
        <w:spacing w:after="0" w:line="3" w:lineRule="exact"/>
        <w:rPr>
          <w:sz w:val="20"/>
          <w:szCs w:val="20"/>
          <w:color w:val="auto"/>
        </w:rPr>
      </w:pPr>
    </w:p>
    <w:p>
      <w:pPr>
        <w:jc w:val="both"/>
        <w:ind w:firstLine="8"/>
        <w:spacing w:after="0" w:line="255" w:lineRule="auto"/>
        <w:tabs>
          <w:tab w:leader="none" w:pos="29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such election;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Company shall not be obligated or required to file another Registration Statement until the Registration Statement that has been previously filed with respect to a Registration pursuant to an Underwritten Demand Registration becomes effective or is subsequently terminated.</w:t>
      </w:r>
    </w:p>
    <w:p>
      <w:pPr>
        <w:spacing w:after="0" w:line="18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Piggyback Registration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Section 2.1 hereof), other than a Registration Statement (or any registered offering with respect thereto) (i) filed in connection with any employee stock option or other benefit plan, (ii) for an exchange offer or offering of securities solely to the Company’s existing stockholders, (iii) for an offering of debt that is convertible into equity securities of the Company, (iv) pursuant to a Registration Statement on Form S-4 (or similar form that relates to a transaction subject to Rule 145 under the Securities Act or any successor rule thereto), (v) for a dividend reinvestment plan, or (vi) for a Block Trade, then the Company shall give written notice of such proposed filing to all of the Holders of Registrable Securities as soon as practicable but not less than ten (10) days before the anticipated filing date of such Registration Statement or, in the case of an Underwritten Offering pursuant to a Shelf Registration, the applicable “red herring” prospectus or prospectus supplement used for marketing such offering,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Subject to Section 2.2.2, the Company shall, in good faith, cause such Registrable Securities to be included in such Piggyback Registration and, if applicable, shall use commercially reasonable efforts to cause the managing Underwriter or Underwriters of a proposed Underwritten Offering to permit the Registrable Securities requested by the Holders pursuant to this Section 2.2.1 to be included in a Piggyback Registration on the same terms and conditions as any similar securities of the Company included in such registered offering and to permit the sale or other disposition of such Registrable Securities in accordance with the intended method(s) of distribution thereof. All such Holders proposing to distribute their Registrable Securities through an Underwritten Offering under this Section 2.2.1 shall enter into an underwriting agreement in customary form with the Underwriter(s) selected for such Underwritten Offering by the Company.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5" w:name="page306"/>
    <w:bookmarkEnd w:id="30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shares of Common Stock or other equity securities that the Company desires to sell, taken together with (i) the shares of Common Stock or other equity securities, if any, as to which Registration or a registered offering has been demanded pursuant to separate written contractual arrangements with persons or entities other than the Holders of Registrable Securities hereunder, (ii) the Registrable Securities as to which registration has been requested pursuant to Section 2.2 hereof, and (iii) the shares of Common Stock or other equity securities, if any, as to which Registration or a registered offering has been requested pursuant to separate written contractual piggyback registration rights of stockholders of the Company other than the Holders of Registrable Securities, exceeds the Maximum Number of Securities, then:</w:t>
      </w:r>
    </w:p>
    <w:p>
      <w:pPr>
        <w:spacing w:after="0" w:line="192" w:lineRule="exact"/>
        <w:rPr>
          <w:sz w:val="20"/>
          <w:szCs w:val="20"/>
          <w:color w:val="auto"/>
        </w:rPr>
      </w:pPr>
    </w:p>
    <w:p>
      <w:pPr>
        <w:jc w:val="both"/>
        <w:ind w:firstLine="1952"/>
        <w:spacing w:after="0" w:line="253" w:lineRule="auto"/>
        <w:tabs>
          <w:tab w:leader="none" w:pos="2529"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or a registered offering is undertaken for the Company’s account, the Company shall include in any such Registration or a registered offering (A) first, the shares of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Section 2.2.1 hereof, Pro Rata, based on the respective number of Registrable Securities that each Holder has so requested to be included in such Registration or such registered offering, which can be sold without exceeding the Maximum Number of Securities; and (C) third, to the extent that the Maximum Number of Securities has not been reached under the foregoing clauses (A) and (B), the shares of Common Stock or other equity securities, if any, as to which Registration or a registered offering has been requested pursuant to written contractual piggyback registration rights of stockholders of the Company entered into after the date hereof, other than the Holders of Registrable Securities, which can be sold without exceeding the Maximum Number of Securities;</w:t>
      </w:r>
    </w:p>
    <w:p>
      <w:pPr>
        <w:spacing w:after="0" w:line="194" w:lineRule="exact"/>
        <w:rPr>
          <w:rFonts w:ascii="Times New Roman" w:cs="Times New Roman" w:eastAsia="Times New Roman" w:hAnsi="Times New Roman"/>
          <w:sz w:val="18"/>
          <w:szCs w:val="18"/>
          <w:color w:val="auto"/>
        </w:rPr>
      </w:pPr>
    </w:p>
    <w:p>
      <w:pPr>
        <w:jc w:val="both"/>
        <w:ind w:firstLine="1952"/>
        <w:spacing w:after="0" w:line="253" w:lineRule="auto"/>
        <w:tabs>
          <w:tab w:leader="none" w:pos="263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or a registered offering is pursuant to a request by persons or entities other than the Holders of Registrable Securities, then the Company shall include in any such Registration or a registered offering (A) first, the shares of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Section 2.2.1, Pro Rata, based on the respective number of Registrable Securities that each Holder has so requested to be included in such Registration or such registered offering, which can be sold without exceeding the Maximum Number of Securities; (C) third, to the extent that the Maximum Number of Securities has not been reached under the foregoing clauses (A)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if any, as to which Registration or a registered offering has been requested pursuant to separate written contractual piggyback registration rights entered into after the date hereof, of persons or entities other than the Holders of Registrable Securities hereunder, which can be sold without exceeding the Maximum Number of Securities; and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6" w:name="page307"/>
    <w:bookmarkEnd w:id="306"/>
    <w:p>
      <w:pPr>
        <w:ind w:firstLine="1952"/>
        <w:spacing w:after="0" w:line="282" w:lineRule="auto"/>
        <w:tabs>
          <w:tab w:leader="none" w:pos="262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or registered offering is pursuant to a request by Holder(s) of Registrable Securities pursuant to Section 2.1 hereof, then the Company shall include in any such Registration or registered offering securities in the priority set forth in Section 2.1.4.</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xml:space="preserve">. Any Holder of Registrable Securities (other than a Demanding Holder, whose right to withdraw from an Underwritten Shelf Takedown, and related obligations, shall be governed by Section 2.1.5)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Other than with respect to an Underwritten Shelf Takedown by a Demanding Holder pursuant to Section 2.1.3, the Company (whether on its own good faith determination or as the result of a request for withdrawal by persons or entities pursuant to separate written contractual obligations) may withdraw a Registration Statement filed with the Commission in connection with a Piggyback Registration at any time prior to the effectiveness of such Registration Statement or abandon the </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xml:space="preserve"> in connection with a Piggyback Registration at any time prior to the launch of such </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Notwithstanding anything to the contrary in this Agreement, the Company shall be responsible for the Registration Expenses incurred in connection with the Piggyback Registration prior to its withdrawal under this Section 2.2.3.</w:t>
      </w:r>
    </w:p>
    <w:p>
      <w:pPr>
        <w:spacing w:after="0" w:line="19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For purposes of clarity, any Piggyback Registration effected pursuant to Section 2.2 hereof shall not be counted as a Registration pursuant to an Underwritten Shelf Takedown effected under Section 2.1 hereof.</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Block Trades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2.3.1 Notwithstanding the foregoing, at any time and from time to time when an effective Shelf is on file with the Commission and effective, if a Demanding Holder wishes to engage in a Block Trade, (x) with a total offering price reasonably expected to exceed $75 million in the aggregate or (y) with respect to all remaining Registrable Securities held by the Demanding Holder (the “</w:t>
      </w:r>
      <w:r>
        <w:rPr>
          <w:rFonts w:ascii="Times New Roman" w:cs="Times New Roman" w:eastAsia="Times New Roman" w:hAnsi="Times New Roman"/>
          <w:sz w:val="18"/>
          <w:szCs w:val="18"/>
          <w:b w:val="1"/>
          <w:bCs w:val="1"/>
          <w:i w:val="1"/>
          <w:iCs w:val="1"/>
          <w:color w:val="auto"/>
        </w:rPr>
        <w:t>Minimum Block Threshold</w:t>
      </w:r>
      <w:r>
        <w:rPr>
          <w:rFonts w:ascii="Times New Roman" w:cs="Times New Roman" w:eastAsia="Times New Roman" w:hAnsi="Times New Roman"/>
          <w:sz w:val="18"/>
          <w:szCs w:val="18"/>
          <w:color w:val="auto"/>
        </w:rPr>
        <w:t xml:space="preserve">”), then such Demanding Holder only needs to notify the Company of the Block Trade at least five (5) business days prior to the day such offering is to commence and the Company shall as expeditiously as possible use its commercially reasonable efforts to facilitate such Block Trade;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Demanding Holders representing a majority of the Registrable Securities wishing to engage in the Block Trade shall use commercially reasonable efforts to work with the Company and any Underwriters prior to making such request in order to facilitate preparation of the registration statement, prospectus and other offering documentation related to the Block Trade.</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2.3.2 Prior to the filing of the applicable “red herring” prospectus or prospectus supplement used in connection with a Block Trade, a majority-in-interest of the Demanding Holders initiating such Block Trade shall have the right to submit a Withdrawal Notice to the Company and the Underwriter or Underwriters (if any) of their intention to withdraw from such Block Trade,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other Demanding Holder(s) may elect to have the Company continue a Block Trade if the Minimum Block Threshold would still be satisfied by the Registrable Securities proposed to be sold in the Block Trade by the remaining Demanding Holder(s). Notwithstanding anything to the contrary in this Agreement, the Company shall be responsible for the Registration Expenses incurred in connection with a Block Trade prior to its withdrawal under this Section 2.3.2.</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2.3.3 Notwithstanding anything to the contrary in this Agreement, Section 2.2 hereof shall not apply to a Block Trade initiated by a Demanding Holder pursuant to this Agreement.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7" w:name="page308"/>
    <w:bookmarkEnd w:id="30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2.3.4 The Demanding Holder in a Block Trade shall have the right to select the Underwriters for such Block Trade (which shall consist of one or more reputable nationally recognized investment banks).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2.3.5 Each Legacy Orchestra Equityholder and Sponsor Equityholder may demand no more than one (1) Block Trade pursuant to this Section 2.3 in any twelve (12) month period. For the avoidance of doubt, any Block Trade effected pursuant to this Section 2.3 shall not be counted as a demand for an Underwritten Shelf Takedown pursuant to Section 2.1.3 hereof.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 Procedures</w:t>
      </w:r>
      <w:r>
        <w:rPr>
          <w:rFonts w:ascii="Times New Roman" w:cs="Times New Roman" w:eastAsia="Times New Roman" w:hAnsi="Times New Roman"/>
          <w:sz w:val="18"/>
          <w:szCs w:val="18"/>
          <w:color w:val="auto"/>
        </w:rPr>
        <w:t>. If the Company is required to effect the Registration of Registrable Securities pursuant to this Agreement,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within the time frame required by Section 2.1.1 (to the extent applicable) a Registration Statement with respect to such Registrable Securities and use its reasonable best efforts to cause such Registration Statement to become effective and remain effective, until all Registrable Securities covered by such Registration Statement have been sold or have ceased to be Registrable Securities;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reasonably requested by any Holder with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have ceased to be Registrable Securities;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3.1.3 at least two (2) business days prior to filing a Registration Statement or Prospectus, or any amendment or supplement thereto (or such shorter period of time as may be (a) necessary in order to comply with the Securities Act, the Exchange Act and the rules and regulations promulgated thereunder or (b) advisable in order to reduce the number of days that sales are suspended pursuant to Section 3.4), furnish without charge to the Underwriters, if any, and each Holder of Registrable Securities included in such Registration, and each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each Holder of Registrable Securities included in such Registration or the legal counsel for any such Holders may reasonably request in order to facilitate the disposition of the Registrable Securities owned by such Holders;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the Company shall have no obligation to furnish any documents publicly filed or furnished with the Commission pursuant to the Electronic Data Gathering Analysis and Retrieval System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provide each Holder and its legal counsel with a reasonable opportunity to review such documents and comment thereon, and the Company shall consider in good faith any comments provided by such Holder or their legal counsel;</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3.1.4 prior to any public offering of Registrable Securities, use commercially reasonable efforts to (i) register or qualify the Registrable Securities covered by the Registration Statement under such securities or “blue sky” laws of such jurisdictions in the United States as any Holder of Registrable Securities included in such Registration Statement (in light of their intended plan of distribution) may request (or provide evidence reasonably satisfactory to such Holders and their respective legal counsel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8" w:name="page309"/>
    <w:bookmarkEnd w:id="308"/>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3.1.5 cause all Registrable Securities included in any Registration to be listed on such exchanges or otherwise designated for trading in the same manner as similar securities issued by the Company are then listed or designated;</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3.1.8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Section 3.4 hereof;</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3.1.9 in the event of an Underwritten Offering, a Block Trade, or sale by a broker, placement agent or sales agent pursuant to such Registration, in each of the cases to the extent customary for a transaction of its type, permit a representative of the Holders (such representative to be selected by a majority of the participating Holders), the Underwriters or other financial institutions facilitating such Underwritten Offering, Block Trade or other sale pursuant to such Registration, if any, and any attorney, consultant or accountant retained by such Holders or Underwriters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representatives, Underwriters or financial institutions enter into a confidentiality agreement, in customary form and substance reasonably satisfactory to the Company, prior to the release or disclosure of any such information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except as required by Law, the Company may not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consider shall consider in good faith and, to the extent deemed appropriate by the Company in its sole discretion, include.</w:t>
      </w:r>
    </w:p>
    <w:p>
      <w:pPr>
        <w:spacing w:after="0" w:line="19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3.1.10 obtain a “comfort” letter from the Company’s independent registered public accountants in the event of an Underwritten Offering, a Block Trade or sale by a broker, placement agent or sales agent pursuant to such Registration in customary form and covering such matters of the type customarily covered by “comfort” letters for a transaction of its type as the managing Underwriter may reasonably request, and reasonably satisfactory to a majority-in-interest of the participating Holders;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3.1.11 in the event of an Underwritten Offering, a Block Trade or sale by a broker, placement agent or sales agent pursuant to such Registration, on the date the Registrable Securities are delivered for sale pursuant to such Registration, to the extent customary for a transaction of its type, obtain an opinion, dated such date, of counsel representing 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agents, sales agent, or Underwriter may reasonably request and as are customarily included in such opinions and negative assurance letters;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9" w:name="page310"/>
    <w:bookmarkEnd w:id="30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3.1.12 in the event of any Underwritten Offering, enter into and perform its obligations under an underwriting agreement, in usual and customary form, with the managing Underwriter of such offering;</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3.1.13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then in effect), and which requirement will be deemed to be satisfied if the Company timely files complete and accurate information on Forms 10-Q, 10-K and 8-K under the Exchange Act and otherwise complies with Rule 158 under the Securities Act;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3.1.14 if the Registration involves the Registration of Registrable Securities involving gross proceeds in excess of $25 million, use its commercially reasonable efforts to make available senior executives of the Company to participate in customary “road show” presentations that may be reasonably requested by the Underwriter in such Underwritten Offering;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3.1.15 otherwise, in good faith, cooperate reasonably with, and take such customary actions as may reasonably be requested by the participating Holders, consistent with the terms of this Agreement, in connection with such Registration.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Company shall not be required to provide any documents or information to an Underwriter, broker, sales agent or placement agent if such Underwriter, broker, sales agent or placement agent has not then been named with respect to the applicable Underwritten Offering or other offering involving a registration as an Underwriter, broker, sales agent or placement agent, as applicable.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Except as otherwise provided herein, the Registration Expenses of all Registrations, including a Registration that is postponed, suspended, delayed or withdrawn, and any failed Registrations that are withdrawn or abandoned by the Company for any reason shall be borne by the Company, unless a Demanding Holder elects to reimburse the Company pursuant to clause (ii) of the second sentence of Section 2.1.5. It is acknowledged by the Holders that each Holder shall bear, severally and not jointly, with respect to such Holder’s Registrable Securities being sold,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Requirements for Participation in Underwritten Offerings</w:t>
      </w:r>
      <w:r>
        <w:rPr>
          <w:rFonts w:ascii="Times New Roman" w:cs="Times New Roman" w:eastAsia="Times New Roman" w:hAnsi="Times New Roman"/>
          <w:sz w:val="18"/>
          <w:szCs w:val="18"/>
          <w:color w:val="auto"/>
        </w:rPr>
        <w:t>. Notwithstanding anything in this Agreement to the contrary, if any Holder does not provide the Company with its requested Holder Information (as defined in Section 5.1.2), the Company may exclude such Holder’s Registrable Securities from the applicable Registration Statement or Prospectus if the Company determines in good faith, based on the advice of counsel, that it is necessary or advisable to include such information in the applicable Registration Statement or Prospectus and such Holder continues thereafter to withhold such information. In addition, no person or entity may 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 For the avoidance of doubt, the exclusion of a Holder’s Registrable Securities as a result of this Section 3.3 shall not affect the registration of the other Registrable Securities to be included in such Registration.</w:t>
      </w:r>
    </w:p>
    <w:p>
      <w:pPr>
        <w:spacing w:after="0" w:line="194"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u w:val="single" w:color="auto"/>
          <w:color w:val="auto"/>
        </w:rPr>
        <w:t>Suspension of Sales; Adverse Disclosure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3.4.1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reasonably practicable after the time of such notice), or until it is advised in writing by the Company that the use of the Prospectus may be resumed.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0" w:name="page311"/>
    <w:bookmarkEnd w:id="310"/>
    <w:p>
      <w:pPr>
        <w:ind w:left="1300"/>
        <w:spacing w:after="0"/>
        <w:tabs>
          <w:tab w:leader="none" w:pos="2000" w:val="left"/>
        </w:tabs>
        <w:rPr>
          <w:sz w:val="20"/>
          <w:szCs w:val="20"/>
          <w:color w:val="auto"/>
        </w:rPr>
      </w:pPr>
      <w:r>
        <w:rPr>
          <w:rFonts w:ascii="Times New Roman" w:cs="Times New Roman" w:eastAsia="Times New Roman" w:hAnsi="Times New Roman"/>
          <w:sz w:val="18"/>
          <w:szCs w:val="18"/>
          <w:color w:val="auto"/>
        </w:rPr>
        <w:t>3.4.2</w:t>
      </w:r>
      <w:r>
        <w:rPr>
          <w:sz w:val="20"/>
          <w:szCs w:val="20"/>
          <w:color w:val="auto"/>
        </w:rPr>
        <w:tab/>
      </w:r>
      <w:r>
        <w:rPr>
          <w:rFonts w:ascii="Times New Roman" w:cs="Times New Roman" w:eastAsia="Times New Roman" w:hAnsi="Times New Roman"/>
          <w:sz w:val="18"/>
          <w:szCs w:val="18"/>
          <w:color w:val="auto"/>
        </w:rPr>
        <w:t>If the filing, initial effectiveness or continued use of a Registration Statement in respect of any Registration at any time would</w:t>
      </w:r>
    </w:p>
    <w:p>
      <w:pPr>
        <w:spacing w:after="0" w:line="27" w:lineRule="exact"/>
        <w:rPr>
          <w:sz w:val="20"/>
          <w:szCs w:val="20"/>
          <w:color w:val="auto"/>
        </w:rPr>
      </w:pPr>
    </w:p>
    <w:p>
      <w:pPr>
        <w:jc w:val="both"/>
        <w:ind w:firstLine="8"/>
        <w:spacing w:after="0" w:line="251" w:lineRule="auto"/>
        <w:tabs>
          <w:tab w:leader="none" w:pos="28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make an Adverse Disclosure, (b) require the inclusion in such Registration Statement of financial statements that are unavailable to the Company for reasons beyond the Company’s control, or (c) in the good faith judgment of the majority of the Board such Registration, be seriously detrimental to the Company and the majority of the Board concludes as a result that it is essential to defer such filing, initial effectiveness or continued use at such time, the Company may, upon giving prompt written notice of such action to the Holders, delay the filing or initial effectiveness of, or suspend use of, such Registration Statement for the shortest period of time, but in no event no more than three (3) occasions or for more than sixty (60) consecutive days, or more than ninety (90) total calendar days, in each case, during any 12-month period,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 The Company shall promptly notify the Holders of the expiration of any period during which it exercised its rights under this Section 3.4, and, upon the expiration of any such period, the Holders shall be entitled to resume the use of any such Prospectus in connection with any sale or offer to sell Registrable Securities.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Reporting Obligations</w:t>
      </w:r>
      <w:r>
        <w:rPr>
          <w:rFonts w:ascii="Times New Roman" w:cs="Times New Roman" w:eastAsia="Times New Roman" w:hAnsi="Times New Roman"/>
          <w:sz w:val="18"/>
          <w:szCs w:val="18"/>
          <w:color w:val="auto"/>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documents publicly filed or furnished with the Commission pursuant to EDGAR shall be deemed to have been furnished or delivered to the Holders pursuant to this Section 3.5.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Section 4(a)(1) of the Securities Act or Rule 144 promulgated under the Securities Act (or any successor rule then in effect), including providing any legal opinions. Upon the request of any Holder, the Company shall deliver to such Holder a written certification of a duly authorized officer as to whether it has complied with such requirements.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20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Lock-up</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4.1.1 Except as permitted by Section 4.2, each Legacy Orchestra Equityholder and Sponsor Equityholder (each, a “</w:t>
      </w:r>
      <w:r>
        <w:rPr>
          <w:rFonts w:ascii="Times New Roman" w:cs="Times New Roman" w:eastAsia="Times New Roman" w:hAnsi="Times New Roman"/>
          <w:sz w:val="18"/>
          <w:szCs w:val="18"/>
          <w:b w:val="1"/>
          <w:bCs w:val="1"/>
          <w:i w:val="1"/>
          <w:iCs w:val="1"/>
          <w:color w:val="auto"/>
        </w:rPr>
        <w:t>Lock-up Party</w:t>
      </w:r>
      <w:r>
        <w:rPr>
          <w:rFonts w:ascii="Times New Roman" w:cs="Times New Roman" w:eastAsia="Times New Roman" w:hAnsi="Times New Roman"/>
          <w:sz w:val="18"/>
          <w:szCs w:val="18"/>
          <w:color w:val="auto"/>
        </w:rPr>
        <w:t>”) shall not Transfer (the “</w:t>
      </w:r>
      <w:r>
        <w:rPr>
          <w:rFonts w:ascii="Times New Roman" w:cs="Times New Roman" w:eastAsia="Times New Roman" w:hAnsi="Times New Roman"/>
          <w:sz w:val="18"/>
          <w:szCs w:val="18"/>
          <w:b w:val="1"/>
          <w:bCs w:val="1"/>
          <w:i w:val="1"/>
          <w:iCs w:val="1"/>
          <w:color w:val="auto"/>
        </w:rPr>
        <w:t>Lock-up</w:t>
      </w:r>
      <w:r>
        <w:rPr>
          <w:rFonts w:ascii="Times New Roman" w:cs="Times New Roman" w:eastAsia="Times New Roman" w:hAnsi="Times New Roman"/>
          <w:sz w:val="18"/>
          <w:szCs w:val="18"/>
          <w:color w:val="auto"/>
        </w:rPr>
        <w:t>”) any shares of Common Stock or any security convertible into or exercisable or exchanged for Common Stock beneficially owned or owned of record by such Holder (the “</w:t>
      </w:r>
      <w:r>
        <w:rPr>
          <w:rFonts w:ascii="Times New Roman" w:cs="Times New Roman" w:eastAsia="Times New Roman" w:hAnsi="Times New Roman"/>
          <w:sz w:val="18"/>
          <w:szCs w:val="18"/>
          <w:b w:val="1"/>
          <w:bCs w:val="1"/>
          <w:i w:val="1"/>
          <w:iCs w:val="1"/>
          <w:color w:val="auto"/>
        </w:rPr>
        <w:t>Lock-up Shares</w:t>
      </w:r>
      <w:r>
        <w:rPr>
          <w:rFonts w:ascii="Times New Roman" w:cs="Times New Roman" w:eastAsia="Times New Roman" w:hAnsi="Times New Roman"/>
          <w:sz w:val="18"/>
          <w:szCs w:val="18"/>
          <w:color w:val="auto"/>
        </w:rPr>
        <w:t>”) until the date that is the earlier of (i) six (6) months from the date hereof (or twelve (12) months with respect to the Founder Shares and the Private Shares and any shares of Common Stock or any security convertible into or exercisable or exchanged for Common Stock beneficially owned or owned of record by RTW and its Affiliates as of the date of this Agreement), or (ii) the date on which the Company completes a liquidation, merger, stock exchange, reorganization or other similar transaction that results in all of the Company’s stockholders having the right to exchange their shares of Common Stock for cash, securities or other property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Notwithstanding anything to the contrary in this Agreement, (A) to the extent any Holder has executed any other agreement with the Company or any of its Affiliates that provides for a longer lock-up period than the Lock-up Period, the lock-up period in such other agreement shall control and (B) the Company may at any time or from time to time, in its sole discretion, elect to release from the Lock-up some or all of the Lock-up Shares purchased in connection with the Backstop Agreement by providing written notice of such election to the holders of such Lock-up Shares.</w:t>
      </w:r>
    </w:p>
    <w:p>
      <w:pPr>
        <w:spacing w:after="0" w:line="18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Exceptions</w:t>
      </w:r>
      <w:r>
        <w:rPr>
          <w:rFonts w:ascii="Times New Roman" w:cs="Times New Roman" w:eastAsia="Times New Roman" w:hAnsi="Times New Roman"/>
          <w:sz w:val="17"/>
          <w:szCs w:val="17"/>
          <w:color w:val="auto"/>
        </w:rPr>
        <w:t>. The provisions of Section 4.1 shall not apply to:</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transactions relating to shares of Common Stock or warrants acquired in open market transactions;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1" w:name="page312"/>
    <w:bookmarkEnd w:id="31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4.2.2 Transfers of shares of Common Stock or any security convertible into or exercisable or exchangeable for Common Stock as a bona fide gift or charitable contribution;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4.2.3 Transfers of shares of Common Stock or any security convertible into or exercisable or exchangeable for Common Stock to a trust, family limited partnership or other entity formed for estate planning purposes for the primary benefit of the spouse, domestic partner, parent, sibling, child or grandchild of a Holder or any other person with whom a Holder has a relationship by blood, marriage or adoption not more remote than first cousin and Transfers to any such family member;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4.2.4 Transfers of shares of Common Stock or any security convertible into or exercisable or exchangeable for Common Stock by will or intestate succession or the laws of descent and distributions upon the death of a Holder (it being understood and agreed that the appointment of one or more executors, administrators or personal representatives of the estate of a Holder shall not be deemed a Transfer hereunder to the extent that such executors, administrators and/or personal representatives comply with the terms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on behalf of such estate);</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4.2.5 Transfers of shares of Common Stock or any security convertible into or exercisable or exchangeable for Common Stock pursuant to a qualified domestic order or in connection with a divorce settlement;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4.2.6 if a Holder is a corporation, partnership (whether general, limited or otherwise), limited liability company, trust or other business entity, (i) Transfers of shares of Common Stock or any security convertible into or exercisable or exchangeable for Common Stock to another corporation, partnership, limited liability company, trust or other business entity that controls, is controlled by or is under common control or management with a Holder (including, for the avoidance of doubt, where such Holder is a partnership, to its general partner or a successor partnership or fund, or any other funds managed by such partnership), or (ii) Transfers of shares of Common Stock or any security convertible into or exercisable or exchangeable for Common Stock as part of a dividend, distribution, transfer or other disposition of shares of Common Stock to partners, limited liability company members, direct or indirect stockholders or other equity holders of a Holder, including, for the avoidance of doubt, where such Holder is a partnership, to its general partner or a successor partnership, fund or investment vehicle, or any other partnerships, funds or investment vehicles controlled or managed by such partnership;</w:t>
      </w:r>
    </w:p>
    <w:p>
      <w:pPr>
        <w:spacing w:after="0" w:line="200" w:lineRule="exact"/>
        <w:rPr>
          <w:sz w:val="20"/>
          <w:szCs w:val="20"/>
          <w:color w:val="auto"/>
        </w:rPr>
      </w:pPr>
    </w:p>
    <w:p>
      <w:pPr>
        <w:spacing w:after="0" w:line="20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4.2.7 if the Holder is a trust, Transfers of shares of Common Stock or any security convertible into or exercisable or exchangeable for Common Stock to a trustor or beneficiary of such trust or to the estate of a beneficiary of such trust;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4.2.8 Transfers of shares of Common Stock or any security convertible into or exercisable or exchangeable for Common Stock to the Company’s or the Holder’s officers, directors, members, consultants or their affiliates;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4.2.9 pledges of shares of Common Stock or any security convertible into or exercisable or exchangeable for Common Stock as security or collateral in connection with any borrowing or the incurrence of any indebtedness by any Holder (provided such borrowing or incurrence of indebtedness is secured by a portfolio of assets or equity interests issued by multiple issuers);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4.2.10 Transfers of shares of Common Stock or any security convertible into or exercisable or exchangeable for Common Stock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third-party tender offer, merger, asset acquisition, stock sale, recapitalization, consolidation, business combination or other transaction or series of related transactions involving a Change in Control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asset acquisition, stock sale, recapitalization, consolidation, business combination or other such transaction is not completed, the securities subject to this Agreement shall remain subject to this Agreement;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4.2.11 Transfers of shares of Common Stock or any security convertible into or exercisable or exchangeable for Common Stock to the Company in connection with the liquidation or dissolution of the Company by virtue of the laws of the state of the Company’s organization and the Company’s organizational documents;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2" w:name="page313"/>
    <w:bookmarkEnd w:id="312"/>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4.2.12 the establishment of a trading plan pursuant to Rule 10b5-1 promulgated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plan does not provide for the Transfer of any shares of Common Stock or any security convertible into or exercisable or exchangeable for Common Stock during the Lock-Up Period; and</w:t>
      </w:r>
    </w:p>
    <w:p>
      <w:pPr>
        <w:spacing w:after="0" w:line="17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4.2.13 Transfers of shares of Common Stock or any security convertible into or exercisable or exchangeable for Common Stock to satisfy any U.S. federal, state, or local income tax obligations of the Lock-up Party (or its direct or indirect owners) arising from a change in the U.S.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or the U.S. Treasury Regulations promulgated thereunder (the “</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after the date on which the Merger Agreement was executed by the parties, and such change prevents the Merger from qualifying as a “reorganization” pursuant to Section 368 of the Code (and the Merger does not qualify for similar tax-free treatment pursuant to any successor or other provision of the Code or Regulations taking into account such changes), in each case solely and to the extent necessary to cover any tax liability as a direct result of the transaction;</w:t>
      </w:r>
    </w:p>
    <w:p>
      <w:pPr>
        <w:spacing w:after="0" w:line="18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PROVIDED, THAT IN THE CASE OF ANY TRANSFER OR DISTRIBUTION PURSUANT TO SECTIONS 4.2.2 THROUGH 4.2.9 AND 4.2.13, EACH DONEE, DISTRIBUTEE OR OTHER TRANSFEREE SHALL AGREE IN WRITING, IN FORM AND SUBSTANCE REASONABLY SATISFACTORY TO THE COMPANY, TO BE BOUND BY THE PROVISIONS OF THIS AGREEMENT.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Null and Void</w:t>
      </w:r>
      <w:r>
        <w:rPr>
          <w:rFonts w:ascii="Times New Roman" w:cs="Times New Roman" w:eastAsia="Times New Roman" w:hAnsi="Times New Roman"/>
          <w:sz w:val="18"/>
          <w:szCs w:val="18"/>
          <w:color w:val="auto"/>
        </w:rPr>
        <w:t xml:space="preserve">. If any Transfer of shares of Common Stock prior to the end of the Lock-up Period is made or attempted contrary to the provisions of this Agreement, such purported Transfer shall be null and void </w:t>
      </w:r>
      <w:r>
        <w:rPr>
          <w:rFonts w:ascii="Times New Roman" w:cs="Times New Roman" w:eastAsia="Times New Roman" w:hAnsi="Times New Roman"/>
          <w:sz w:val="18"/>
          <w:szCs w:val="18"/>
          <w:i w:val="1"/>
          <w:iCs w:val="1"/>
          <w:color w:val="auto"/>
        </w:rPr>
        <w:t>ab initi</w:t>
      </w:r>
      <w:r>
        <w:rPr>
          <w:rFonts w:ascii="Times New Roman" w:cs="Times New Roman" w:eastAsia="Times New Roman" w:hAnsi="Times New Roman"/>
          <w:sz w:val="18"/>
          <w:szCs w:val="18"/>
          <w:color w:val="auto"/>
        </w:rPr>
        <w:t>o, and the Company shall refuse to recognize any such purported transferee of the Common Stock as one of its equityholders for any purpose.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During the Lock-up Period, each certificate evidencing any Common Stock shall be stamped or otherwise imprinted with a legend in substantially the following form, in addition to any other applicable legends: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ARE SUBJECT TO RESTRICTIONS ON TRANSFER SET FORTH IN AN AMENDED AND RESTATED REGISTRATION RIGHTS AGREEMENT, DATED AS OF [•], 2022 (AS MAY BE AMENDED OR RESTATED FROM TIME TO TIME), A COPY OF WHICH IS ON FILE WITH THE SECRETARY OF THE COMPANY. NO TRANSFER, SALE, ASSIGNMENT, PLEDGE, HYPOTHECATION OR OTHER DISPOSITION OF THE SECURITIES REPRESENTED BY THIS CERTIFICATE MAY BE MADE EXCEPT IN ACCORDANCE WITH THE PROVISIONS OF SUCH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Promptly upon the expiration of the Lock-up Period, the Company shall cause the removal of such legend and, if determined appropriate by the Company, any restrictive legend related to compliance with the federal securities laws from the certificates evidencing the Common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0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5.1.1 The Company agrees to indemnify and hold harmless, to the extent permitted by law, each Holder of Registrable Securities, its partners, members, managers, officers, directors and agents and each person or entity who controls such Holder (within the meaning of the Securities Act) against all losses, claims, damages, liabilities and out-of-pocket expenses (including without limitation actual, reasonable and documented attorneys’ fees or other fees and expenses incurred thereby in connection with investigating or defending any such claim or proceeding), caused by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or affidavit so furnished in writing to the Company by such Holder expressly for use therein). The Company shall indemnify the Underwriters, their officers and directors and each person or entity who controls such Underwriters (within the meaning of the Securities Act) to the same extent as provided in the foregoing with respect to the indemnification of the Holder.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13" w:name="page314"/>
    <w:bookmarkEnd w:id="31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5.1.2 In connection with any Registration Statement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w:t>
      </w:r>
      <w:r>
        <w:rPr>
          <w:rFonts w:ascii="Times New Roman" w:cs="Times New Roman" w:eastAsia="Times New Roman" w:hAnsi="Times New Roman"/>
          <w:sz w:val="18"/>
          <w:szCs w:val="18"/>
          <w:b w:val="1"/>
          <w:bCs w:val="1"/>
          <w:i w:val="1"/>
          <w:iCs w:val="1"/>
          <w:color w:val="auto"/>
        </w:rPr>
        <w:t>Holder Information</w:t>
      </w:r>
      <w:r>
        <w:rPr>
          <w:rFonts w:ascii="Times New Roman" w:cs="Times New Roman" w:eastAsia="Times New Roman" w:hAnsi="Times New Roman"/>
          <w:sz w:val="18"/>
          <w:szCs w:val="18"/>
          <w:color w:val="auto"/>
        </w:rPr>
        <w:t xml:space="preserve">”) and, to the extent permitted by law, shall indemnify the Company, its directors, officers and agents and each person or entity who controls the Company (within the meaning of the Securities Act) against any losses, claims, damages, liabilities and out-of-pocket expenses (including without limitation actual, reasonable and documented attorneys’ fees) resulting from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is contained in (or not contained in, in the case of an omission) the Holder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5.1.3 Any person or entity entitled to indemnification herein shall (i) give prompt written notice to the indemnifying party of any claim with respect to which it seeks indemnification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failure to give prompt notice shall not impair any person’s or entity’s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(1) counsel (plus one (1)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19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5.1.4 The indemnification provided for under this Agreement shall remain in full force and effect regardless of any investigation made by or on behalf of the indemnified party or any officer, director or controlling person or entity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5.1.5 If the indemnification provided under Section 5.1 hereof from the indemnifying party is unavailable or insufficient to hold harmless an 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and the benefits received by such indemnified party or indemnifying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liability of any Holder under this Section 5.1.5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Sections 5.1.1, 5.1.2 and 5.1.3 above, any legal or other fees, charges or out-of-pocket expenses reasonably incurred by such party in connection with any investigation or proceeding. The parties hereto agree that it would not be just and equitable if contribution pursuant to this Section 5.1.5 were determined by pro rata allocation or by any other method of allocation, which does not take account of the equitable considerations referred to in this Section 5.1.5. No person or entity guilty of fraudulent misrepresentation (within the meaning of Section 11(f) of the Securities Act) shall be entitled to contribution pursuant to this Section 5.1.5 from any person or entity who was not guilty of such fraudulent misrepresentation.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4" w:name="page315"/>
    <w:bookmarkEnd w:id="314"/>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(a) if by hand or recognized courier service, by 4:00PM on a business day, addressee’s day and time, on the date of delivery, and otherwise on the first business day after such delivery; (b) if by fax or email, on the date that transmission is confirmed electronically, if by 4:00PM on a business day, addressee’s day and time, and otherwise on the first business day after the date of such confirmation; or (c) five days after mailing by certified or registered mail, return receipt requested. Notices shall be addressed to the respective parties as follows, or to such other address as a party shall specify to the others in accordance with this Section 6.1:</w:t>
      </w: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Orchestra BioMed,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150 Union Square Drive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Hope PA 18938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David Hochman, Chairman &amp; CEO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DHochman@orchestrabiomed.com,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10166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Samuel A. Waxman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samuelwaxman@paulhastings.com;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any Holder, at such Holder’s address or contact information as set forth in the Company’s books and records.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Assignment; No Third-Party Beneficiaries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6.2.1 This Agreement and the rights, duties and obligations of the Company hereunder may not be assigned or delegated by the Company in whole or in part.</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6.2.2 Subject to Section 6.2.4 and Section 6.2.5, this Agreement and the rights, duties and obligations of a Holder hereunder may be assigned in whole or in part to such Holder’s Permitted Transferees;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(a)(i) the Legacy Orchestra Equityholders shall be permitted to transfer their rights hereunder as a Legacy Orchestra Equityholder to one or more affiliates or any direct or indirect partners, members or equity holders of the Legacy Orchestra Equityholders (it being understood that no such transfer shall reduce any rights of the Legacy Orchestra Equityholders or such transferees) and (ii) the Sponsor Equityholders shall be permitted to transfer their rights hereunder as the Sponsor Equityholders to one or more of their respective affiliates or any direct or indirect partners, members or equity holders of the Sponsor Equityholders (it being understood that no such transfer shall reduce any rights of the Sponsor Equityholders or such transferees).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5" w:name="page316"/>
    <w:bookmarkEnd w:id="31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6.2.3 This Agreement and the provisions hereof shall be binding upon and shall inure to the benefit of each of the parties and its successors and the permitted assigns of the Holders, which shall include Permitted Transferees.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6.2.4 This Agreement shall not confer any rights or benefits on any persons or entities that are not parties hereto, other than as expressly set forth in this Agreement and Section 6.2 hereof.</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6.2.5 No assignment by any party hereto of such party’s rights, duties and obligations hereunder shall be binding upon or obligate the Company unless and until the Company shall have received (i) written notice of such assignment as provided in Section 6.1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Section 6.2 shall be null and void.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separate counterparts, each of which shall constitute an original, and all of which together shall constitute one and the same agreement binding on all the parties hereto. This Agreement shall become effective upon delivery to each party of an executed counterpart or the earlier delivery to each party of original, photocopied, or electronically transmitted signature pages that together (but need not individually) bear the signatures of all other parties. For the avoidance of doubt, each party agrees that an electronic copy of this Agreement shall be considered and treated like an original, and that an electronic or digital signature shall be as valid as a handwritten signature (including .pdf or any electronic signature complying with the U.S. federal ESIGN Act of 2000 (e.g., www.docusign.com)).</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Agreement shall be construed in accordance with and governed by the laws of the State of Delaware, without giving effect to the conflict of laws principles thereof. Any Action based upon, arising out of or related to this Agreement or the transactions contemplated hereby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(i) submits to the exclusive jurisdiction of each such court in any such proceeding or Action, (ii) waives any objection it may now or hereafter have to personal jurisdiction, venue or to convenience of forum, (iii) agrees that all claims in respect of the proceeding or Action shall be heard and determined only in any such court, and (iv) agrees not to bring any proceeding or Action arising out of or relating to this Agreement or the transactions contemplated hereby in any other court. Nothing herein contained shall be deemed to affect the right of any party to serve process in any manner permitted by Law or to commence Proceedings or otherwise proceed against any other party in any other jurisdiction, in each case, to enforce judgments obtained in any Action brought pursuant to this Section 6.4.</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PARTIES TO THIS AGREEMENT HEREBY KNOWINGLY, VOLUNTARILY AND IRREVOCABLY WAIVE ANY RIGHT EACH SUCH PARTY MAY HAVE TO TRIAL BY JURY IN ANY ACTION OF ANY KIND OR NATURE, IN ANY COURT IN WHICH AN ACTION MAY BE COMMENCED, ARISING OUT OF OR IN CONNECTION WITH THIS AGREEMENT OR ANY ADDITIONAL AGREEMENT, OR BY REASON OF ANY OTHER CAUSE OR DISPUTE WHATSOEVER BETWEEN OR AMONG ANY OF THE PARTIES TO THIS AGREEMENT OF ANY KIND OR NATURE. NO PARTY SHALL BE AWARDED PUNITIVE OR OTHER EXEMPLARY DAMAGES RESPECTING ANY DISPUTE ARISING UNDER THIS AGREEMENT OR ANY ADDITIONAL AGREEMENT.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xml:space="preserve">. Upon the written consent of the Company, the Holders of a majority-in-interest of the Registrable Securities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any amendment hereto or waiver hereof that (i) adversely affects one Holder, solely in its capacity as a holder of the shares of capital stock of the Company, in a manner that is materially different from the other Holders (in such capacity) shall require the consent of the Holder so affected, (ii) any amendment or waiver hereof that adversely affects the rights of Sponsor (or its successor) shall require the consent of the Sponsor (or its successor), (iii) any amendment or waiver hereof that adversely affects the rights of Covidien Group (or its successor) shall require the consent of Covidien Group (or its successor), and (iv) any amendment or waiver hereof that adversely affects the rights of the Legacy Orchestra Equityholders shall require the consent a majority-in-interest of the Registrable Securities held by the Legacy Orchestra Equityholders at the time in question.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6" w:name="page317"/>
    <w:bookmarkEnd w:id="31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The Company represents and warrants that no person or entity,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or entity.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 This Agreement supersedes, and amends and restates in its entirety, the Prior Agreement.</w:t>
      </w:r>
    </w:p>
    <w:p>
      <w:pPr>
        <w:spacing w:after="0" w:line="17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upon the earlier of (i)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date of this Agreement, (ii) the date as of which all of the Registrable Securities have been sold or disposed of, or (iii) with respect to any particular Holder, on the date such Holder no longer holds Registrable Securities. The provisions of Section 3.5 and Article V shall survive any termination.</w:t>
      </w:r>
    </w:p>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Each Holder agrees, if requested in writing, to represent to the Company the total number of Registrable Securities held by such Holder in order for the Company to make determinations hereunder.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7" w:name="page318"/>
    <w:bookmarkEnd w:id="31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Amended and Restated Registration Rights Agreement to be executed and delivered by their duly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ORCHESTRA BIOMED,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Hochman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SPONSOR EQUITYHOLDERS: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HSAC 2 HOLDINGS,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Pedro Granadillo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Stuart Peltz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Brophy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Carsten Boess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Innovation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Venture Fund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RTW Investments, LP, its Investment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color w:val="auto"/>
        </w:rPr>
        <w:t>LEGACY ORCHESTRA EQUITYHOLDERS: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373"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19" w:name="page320"/>
    <w:bookmarkEnd w:id="319"/>
    <w:p>
      <w:pPr>
        <w:jc w:val="center"/>
        <w:ind w:right="-1100"/>
        <w:spacing w:after="0"/>
        <w:rPr>
          <w:sz w:val="20"/>
          <w:szCs w:val="20"/>
          <w:color w:val="auto"/>
        </w:rPr>
      </w:pPr>
      <w:r>
        <w:rPr>
          <w:rFonts w:ascii="Times New Roman" w:cs="Times New Roman" w:eastAsia="Times New Roman" w:hAnsi="Times New Roman"/>
          <w:sz w:val="17"/>
          <w:szCs w:val="17"/>
          <w:color w:val="auto"/>
        </w:rPr>
        <w:t>SCHEDULE A – SPONSOR EQUITYHOLDERS</w:t>
      </w:r>
    </w:p>
    <w:p>
      <w:pPr>
        <w:spacing w:after="0" w:line="23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Name and Address of Equityholder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HSAC 2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Pedro Granadillo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Stuart Peltz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Brophy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Carsten Boess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Master Fund,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Innovation Master Fund,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RTW Venture Fund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10th Avenue, Floor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37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20" w:name="page321"/>
    <w:bookmarkEnd w:id="320"/>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8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SCHEDULE B – LEGACY ORCHESTRA EQUITYHOLDERS</w:t>
            </w:r>
          </w:p>
        </w:tc>
      </w:tr>
      <w:tr>
        <w:trPr>
          <w:trHeight w:val="432"/>
        </w:trPr>
        <w:tc>
          <w:tcPr>
            <w:tcW w:w="2980" w:type="dxa"/>
            <w:vAlign w:val="bottom"/>
          </w:tcPr>
          <w:p>
            <w:pPr>
              <w:spacing w:after="0"/>
              <w:rPr>
                <w:sz w:val="24"/>
                <w:szCs w:val="24"/>
                <w:color w:val="auto"/>
              </w:rPr>
            </w:pPr>
          </w:p>
        </w:tc>
        <w:tc>
          <w:tcPr>
            <w:tcW w:w="82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Name and Address of Equityholder</w:t>
            </w: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RTW Master Fund, Ltd.</w:t>
            </w:r>
          </w:p>
        </w:tc>
        <w:tc>
          <w:tcPr>
            <w:tcW w:w="82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Pam Connealy</w:t>
            </w: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40 10th Avenue, Floor 7</w:t>
            </w:r>
          </w:p>
        </w:tc>
        <w:tc>
          <w:tcPr>
            <w:tcW w:w="82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Orchestra BioMed, Inc.</w:t>
            </w: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York, New York 10014</w:t>
            </w:r>
          </w:p>
        </w:tc>
        <w:tc>
          <w:tcPr>
            <w:tcW w:w="82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150 Union Square Drive</w:t>
            </w:r>
          </w:p>
        </w:tc>
      </w:tr>
      <w:tr>
        <w:trPr>
          <w:trHeight w:val="234"/>
        </w:trPr>
        <w:tc>
          <w:tcPr>
            <w:tcW w:w="2980" w:type="dxa"/>
            <w:vAlign w:val="bottom"/>
          </w:tcPr>
          <w:p>
            <w:pPr>
              <w:spacing w:after="0"/>
              <w:rPr>
                <w:sz w:val="20"/>
                <w:szCs w:val="20"/>
                <w:color w:val="auto"/>
              </w:rPr>
            </w:pPr>
          </w:p>
        </w:tc>
        <w:tc>
          <w:tcPr>
            <w:tcW w:w="82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New Hope, PA 18938</w:t>
            </w: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RTW Innovation Master Fund, Ltd.</w:t>
            </w:r>
          </w:p>
        </w:tc>
        <w:tc>
          <w:tcPr>
            <w:tcW w:w="82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Geoffrey W Smith</w:t>
            </w: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40 10th Avenue, Floor 7</w:t>
            </w:r>
          </w:p>
        </w:tc>
        <w:tc>
          <w:tcPr>
            <w:tcW w:w="82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Orchestra BioMed, Inc.</w:t>
            </w: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York, New York 10014</w:t>
            </w:r>
          </w:p>
        </w:tc>
        <w:tc>
          <w:tcPr>
            <w:tcW w:w="82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150 Union Square Drive</w:t>
            </w:r>
          </w:p>
        </w:tc>
      </w:tr>
      <w:tr>
        <w:trPr>
          <w:trHeight w:val="234"/>
        </w:trPr>
        <w:tc>
          <w:tcPr>
            <w:tcW w:w="2980" w:type="dxa"/>
            <w:vAlign w:val="bottom"/>
          </w:tcPr>
          <w:p>
            <w:pPr>
              <w:spacing w:after="0"/>
              <w:rPr>
                <w:sz w:val="20"/>
                <w:szCs w:val="20"/>
                <w:color w:val="auto"/>
              </w:rPr>
            </w:pPr>
          </w:p>
        </w:tc>
        <w:tc>
          <w:tcPr>
            <w:tcW w:w="82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New Hope, PA 18938</w:t>
            </w: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RTW Venture Fund Limited</w:t>
            </w:r>
          </w:p>
        </w:tc>
        <w:tc>
          <w:tcPr>
            <w:tcW w:w="82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Covidien Group S.à.r.l.</w:t>
            </w: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40 10th Avenue, Floor 7</w:t>
            </w:r>
          </w:p>
        </w:tc>
        <w:tc>
          <w:tcPr>
            <w:tcW w:w="8260" w:type="dxa"/>
            <w:vAlign w:val="bottom"/>
          </w:tcPr>
          <w:p>
            <w:pPr>
              <w:spacing w:after="0"/>
              <w:rPr>
                <w:sz w:val="18"/>
                <w:szCs w:val="18"/>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York, New York 10014</w:t>
            </w:r>
          </w:p>
        </w:tc>
        <w:tc>
          <w:tcPr>
            <w:tcW w:w="8260" w:type="dxa"/>
            <w:vAlign w:val="bottom"/>
          </w:tcPr>
          <w:p>
            <w:pPr>
              <w:spacing w:after="0"/>
              <w:rPr>
                <w:sz w:val="20"/>
                <w:szCs w:val="20"/>
                <w:color w:val="auto"/>
              </w:rPr>
            </w:pP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 Hochman</w:t>
            </w:r>
          </w:p>
        </w:tc>
        <w:tc>
          <w:tcPr>
            <w:tcW w:w="82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[First Riverside]</w:t>
            </w: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Orchestra BioMed, Inc.</w:t>
            </w:r>
          </w:p>
        </w:tc>
        <w:tc>
          <w:tcPr>
            <w:tcW w:w="8260" w:type="dxa"/>
            <w:vAlign w:val="bottom"/>
          </w:tcPr>
          <w:p>
            <w:pPr>
              <w:spacing w:after="0"/>
              <w:rPr>
                <w:sz w:val="18"/>
                <w:szCs w:val="18"/>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 Union Square Drive</w:t>
            </w:r>
          </w:p>
        </w:tc>
        <w:tc>
          <w:tcPr>
            <w:tcW w:w="8260" w:type="dxa"/>
            <w:vAlign w:val="bottom"/>
          </w:tcPr>
          <w:p>
            <w:pPr>
              <w:spacing w:after="0"/>
              <w:rPr>
                <w:sz w:val="18"/>
                <w:szCs w:val="18"/>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Hope, PA 18938</w:t>
            </w:r>
          </w:p>
        </w:tc>
        <w:tc>
          <w:tcPr>
            <w:tcW w:w="8260" w:type="dxa"/>
            <w:vAlign w:val="bottom"/>
          </w:tcPr>
          <w:p>
            <w:pPr>
              <w:spacing w:after="0"/>
              <w:rPr>
                <w:sz w:val="20"/>
                <w:szCs w:val="20"/>
                <w:color w:val="auto"/>
              </w:rPr>
            </w:pP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Darren Sherman</w:t>
            </w:r>
          </w:p>
        </w:tc>
        <w:tc>
          <w:tcPr>
            <w:tcW w:w="82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[Perceptive]</w:t>
            </w: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Orchestra BioMed, Inc.</w:t>
            </w:r>
          </w:p>
        </w:tc>
        <w:tc>
          <w:tcPr>
            <w:tcW w:w="8260" w:type="dxa"/>
            <w:vAlign w:val="bottom"/>
          </w:tcPr>
          <w:p>
            <w:pPr>
              <w:spacing w:after="0"/>
              <w:rPr>
                <w:sz w:val="18"/>
                <w:szCs w:val="18"/>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 Union Square Drive</w:t>
            </w:r>
          </w:p>
        </w:tc>
        <w:tc>
          <w:tcPr>
            <w:tcW w:w="8260" w:type="dxa"/>
            <w:vAlign w:val="bottom"/>
          </w:tcPr>
          <w:p>
            <w:pPr>
              <w:spacing w:after="0"/>
              <w:rPr>
                <w:sz w:val="18"/>
                <w:szCs w:val="18"/>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Hope, PA 18938</w:t>
            </w:r>
          </w:p>
        </w:tc>
        <w:tc>
          <w:tcPr>
            <w:tcW w:w="8260" w:type="dxa"/>
            <w:vAlign w:val="bottom"/>
          </w:tcPr>
          <w:p>
            <w:pPr>
              <w:spacing w:after="0"/>
              <w:rPr>
                <w:sz w:val="20"/>
                <w:szCs w:val="20"/>
                <w:color w:val="auto"/>
              </w:rPr>
            </w:pP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Michael Kaswan</w:t>
            </w:r>
          </w:p>
        </w:tc>
        <w:tc>
          <w:tcPr>
            <w:tcW w:w="8260" w:type="dxa"/>
            <w:vAlign w:val="bottom"/>
          </w:tcPr>
          <w:p>
            <w:pPr>
              <w:spacing w:after="0"/>
              <w:rPr>
                <w:sz w:val="24"/>
                <w:szCs w:val="24"/>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Orchestra BioMed, Inc.</w:t>
            </w:r>
          </w:p>
        </w:tc>
        <w:tc>
          <w:tcPr>
            <w:tcW w:w="8260" w:type="dxa"/>
            <w:vAlign w:val="bottom"/>
          </w:tcPr>
          <w:p>
            <w:pPr>
              <w:spacing w:after="0"/>
              <w:rPr>
                <w:sz w:val="18"/>
                <w:szCs w:val="18"/>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 Union Square Drive</w:t>
            </w:r>
          </w:p>
        </w:tc>
        <w:tc>
          <w:tcPr>
            <w:tcW w:w="8260" w:type="dxa"/>
            <w:vAlign w:val="bottom"/>
          </w:tcPr>
          <w:p>
            <w:pPr>
              <w:spacing w:after="0"/>
              <w:rPr>
                <w:sz w:val="18"/>
                <w:szCs w:val="18"/>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Hope, PA 18938</w:t>
            </w:r>
          </w:p>
        </w:tc>
        <w:tc>
          <w:tcPr>
            <w:tcW w:w="8260" w:type="dxa"/>
            <w:vAlign w:val="bottom"/>
          </w:tcPr>
          <w:p>
            <w:pPr>
              <w:spacing w:after="0"/>
              <w:rPr>
                <w:sz w:val="20"/>
                <w:szCs w:val="20"/>
                <w:color w:val="auto"/>
              </w:rPr>
            </w:pP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Yuval Mika</w:t>
            </w:r>
          </w:p>
        </w:tc>
        <w:tc>
          <w:tcPr>
            <w:tcW w:w="8260" w:type="dxa"/>
            <w:vAlign w:val="bottom"/>
          </w:tcPr>
          <w:p>
            <w:pPr>
              <w:spacing w:after="0"/>
              <w:rPr>
                <w:sz w:val="24"/>
                <w:szCs w:val="24"/>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Orchestra BioMed, Inc.</w:t>
            </w:r>
          </w:p>
        </w:tc>
        <w:tc>
          <w:tcPr>
            <w:tcW w:w="8260" w:type="dxa"/>
            <w:vAlign w:val="bottom"/>
          </w:tcPr>
          <w:p>
            <w:pPr>
              <w:spacing w:after="0"/>
              <w:rPr>
                <w:sz w:val="18"/>
                <w:szCs w:val="18"/>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 Union Square Drive</w:t>
            </w:r>
          </w:p>
        </w:tc>
        <w:tc>
          <w:tcPr>
            <w:tcW w:w="8260" w:type="dxa"/>
            <w:vAlign w:val="bottom"/>
          </w:tcPr>
          <w:p>
            <w:pPr>
              <w:spacing w:after="0"/>
              <w:rPr>
                <w:sz w:val="18"/>
                <w:szCs w:val="18"/>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Hope, PA 18938</w:t>
            </w:r>
          </w:p>
        </w:tc>
        <w:tc>
          <w:tcPr>
            <w:tcW w:w="8260" w:type="dxa"/>
            <w:vAlign w:val="bottom"/>
          </w:tcPr>
          <w:p>
            <w:pPr>
              <w:spacing w:after="0"/>
              <w:rPr>
                <w:sz w:val="20"/>
                <w:szCs w:val="20"/>
                <w:color w:val="auto"/>
              </w:rPr>
            </w:pP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Eric Fain</w:t>
            </w:r>
          </w:p>
        </w:tc>
        <w:tc>
          <w:tcPr>
            <w:tcW w:w="8260" w:type="dxa"/>
            <w:vAlign w:val="bottom"/>
          </w:tcPr>
          <w:p>
            <w:pPr>
              <w:spacing w:after="0"/>
              <w:rPr>
                <w:sz w:val="24"/>
                <w:szCs w:val="24"/>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Orchestra BioMed, Inc.</w:t>
            </w:r>
          </w:p>
        </w:tc>
        <w:tc>
          <w:tcPr>
            <w:tcW w:w="8260" w:type="dxa"/>
            <w:vAlign w:val="bottom"/>
          </w:tcPr>
          <w:p>
            <w:pPr>
              <w:spacing w:after="0"/>
              <w:rPr>
                <w:sz w:val="18"/>
                <w:szCs w:val="18"/>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 Union Square Drive</w:t>
            </w:r>
          </w:p>
        </w:tc>
        <w:tc>
          <w:tcPr>
            <w:tcW w:w="8260" w:type="dxa"/>
            <w:vAlign w:val="bottom"/>
          </w:tcPr>
          <w:p>
            <w:pPr>
              <w:spacing w:after="0"/>
              <w:rPr>
                <w:sz w:val="18"/>
                <w:szCs w:val="18"/>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Hope, PA 18938</w:t>
            </w:r>
          </w:p>
        </w:tc>
        <w:tc>
          <w:tcPr>
            <w:tcW w:w="8260" w:type="dxa"/>
            <w:vAlign w:val="bottom"/>
          </w:tcPr>
          <w:p>
            <w:pPr>
              <w:spacing w:after="0"/>
              <w:rPr>
                <w:sz w:val="20"/>
                <w:szCs w:val="20"/>
                <w:color w:val="auto"/>
              </w:rPr>
            </w:pP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Eric Rose</w:t>
            </w:r>
          </w:p>
        </w:tc>
        <w:tc>
          <w:tcPr>
            <w:tcW w:w="8260" w:type="dxa"/>
            <w:vAlign w:val="bottom"/>
          </w:tcPr>
          <w:p>
            <w:pPr>
              <w:spacing w:after="0"/>
              <w:rPr>
                <w:sz w:val="24"/>
                <w:szCs w:val="24"/>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Orchestra BioMed, Inc.</w:t>
            </w:r>
          </w:p>
        </w:tc>
        <w:tc>
          <w:tcPr>
            <w:tcW w:w="8260" w:type="dxa"/>
            <w:vAlign w:val="bottom"/>
          </w:tcPr>
          <w:p>
            <w:pPr>
              <w:spacing w:after="0"/>
              <w:rPr>
                <w:sz w:val="18"/>
                <w:szCs w:val="18"/>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 Union Square Drive</w:t>
            </w:r>
          </w:p>
        </w:tc>
        <w:tc>
          <w:tcPr>
            <w:tcW w:w="8260" w:type="dxa"/>
            <w:vAlign w:val="bottom"/>
          </w:tcPr>
          <w:p>
            <w:pPr>
              <w:spacing w:after="0"/>
              <w:rPr>
                <w:sz w:val="18"/>
                <w:szCs w:val="18"/>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Hope, PA 18938</w:t>
            </w:r>
          </w:p>
        </w:tc>
        <w:tc>
          <w:tcPr>
            <w:tcW w:w="8260" w:type="dxa"/>
            <w:vAlign w:val="bottom"/>
          </w:tcPr>
          <w:p>
            <w:pPr>
              <w:spacing w:after="0"/>
              <w:rPr>
                <w:sz w:val="20"/>
                <w:szCs w:val="20"/>
                <w:color w:val="auto"/>
              </w:rPr>
            </w:pPr>
          </w:p>
        </w:tc>
      </w:tr>
      <w:tr>
        <w:trPr>
          <w:trHeight w:val="41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Jason Aryeh</w:t>
            </w:r>
          </w:p>
        </w:tc>
        <w:tc>
          <w:tcPr>
            <w:tcW w:w="8260" w:type="dxa"/>
            <w:vAlign w:val="bottom"/>
          </w:tcPr>
          <w:p>
            <w:pPr>
              <w:spacing w:after="0"/>
              <w:rPr>
                <w:sz w:val="24"/>
                <w:szCs w:val="24"/>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Orchestra BioMed, Inc.</w:t>
            </w:r>
          </w:p>
        </w:tc>
        <w:tc>
          <w:tcPr>
            <w:tcW w:w="8260" w:type="dxa"/>
            <w:vAlign w:val="bottom"/>
          </w:tcPr>
          <w:p>
            <w:pPr>
              <w:spacing w:after="0"/>
              <w:rPr>
                <w:sz w:val="18"/>
                <w:szCs w:val="18"/>
                <w:color w:val="auto"/>
              </w:rPr>
            </w:pPr>
          </w:p>
        </w:tc>
      </w:tr>
      <w:tr>
        <w:trPr>
          <w:trHeight w:val="216"/>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 Union Square Drive</w:t>
            </w:r>
          </w:p>
        </w:tc>
        <w:tc>
          <w:tcPr>
            <w:tcW w:w="8260" w:type="dxa"/>
            <w:vAlign w:val="bottom"/>
          </w:tcPr>
          <w:p>
            <w:pPr>
              <w:spacing w:after="0"/>
              <w:rPr>
                <w:sz w:val="18"/>
                <w:szCs w:val="18"/>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Hope, PA 18938</w:t>
            </w:r>
          </w:p>
        </w:tc>
        <w:tc>
          <w:tcPr>
            <w:tcW w:w="8260" w:type="dxa"/>
            <w:vAlign w:val="bottom"/>
          </w:tcPr>
          <w:p>
            <w:pPr>
              <w:spacing w:after="0"/>
              <w:rPr>
                <w:sz w:val="20"/>
                <w:szCs w:val="20"/>
                <w:color w:val="auto"/>
              </w:rPr>
            </w:pPr>
          </w:p>
        </w:tc>
      </w:tr>
      <w:tr>
        <w:trPr>
          <w:trHeight w:val="358"/>
        </w:trPr>
        <w:tc>
          <w:tcPr>
            <w:tcW w:w="298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EARNOUT ELECTION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EARNOUT ELECTION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2022, is made and entered into by and among, (i) Health Sciences Acquisitions Corporation 2, a Cayman Islands exempted company (which shall deregister in the Cayman Islands and domesticate as a Delaware corporation prior to the Closing,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(ii) Orchestra BioMed,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(iii) the Company Securityholder set forth on the signature page hereto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Capitalized terms used but not otherwise defined in this Agreement shall have the meanings ascribed to such terms in the Merger Agreement (as defined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WHEREAS, Parent, HSAC Olympus Merger Sub, Inc., a Delaware corporation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the Company, are party to that certain Agreement and Plan of Merger, dated as of June [●], 2022 (as amended or restated from time to time,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pursuant to which, at the Closing, Merger Sub will merge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and into the Company, with the Company surviving the Merger as a wholly owned subsidiary of Parent;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immediately prior to the Effective Time, all of the issued and outstanding shares of Company Preferred Stock held by Holder, if any, will automatically convert into shares of Company Common Stock in accordance with the applicable terms of the Company Certificate of Incorporation (the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at the Effective Time each share of Company Common Stock issued and outstanding immediately prior to the Effective Time (assuming completion of the Conversion) held by Holder will automatically be cancelled, extinguished and converted into the right to receive a number of Domesticated Parent Common Shares as calculated in accordance with Section 4.1(b) of the Merger Agreement (the “</w:t>
      </w:r>
      <w:r>
        <w:rPr>
          <w:rFonts w:ascii="Times New Roman" w:cs="Times New Roman" w:eastAsia="Times New Roman" w:hAnsi="Times New Roman"/>
          <w:sz w:val="18"/>
          <w:szCs w:val="18"/>
          <w:b w:val="1"/>
          <w:bCs w:val="1"/>
          <w:i w:val="1"/>
          <w:iCs w:val="1"/>
          <w:color w:val="auto"/>
        </w:rPr>
        <w:t>Merger Shares</w:t>
      </w:r>
      <w:r>
        <w:rPr>
          <w:rFonts w:ascii="Times New Roman" w:cs="Times New Roman" w:eastAsia="Times New Roman" w:hAnsi="Times New Roman"/>
          <w:sz w:val="18"/>
          <w:szCs w:val="18"/>
          <w:color w:val="auto"/>
        </w:rPr>
        <w:t>”); and</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WHEREAS, pursuant to Section 4.7 of the Merger Agreement (the “</w:t>
      </w:r>
      <w:r>
        <w:rPr>
          <w:rFonts w:ascii="Times New Roman" w:cs="Times New Roman" w:eastAsia="Times New Roman" w:hAnsi="Times New Roman"/>
          <w:sz w:val="18"/>
          <w:szCs w:val="18"/>
          <w:b w:val="1"/>
          <w:bCs w:val="1"/>
          <w:i w:val="1"/>
          <w:iCs w:val="1"/>
          <w:color w:val="auto"/>
        </w:rPr>
        <w:t>Earnout Provisions</w:t>
      </w:r>
      <w:r>
        <w:rPr>
          <w:rFonts w:ascii="Times New Roman" w:cs="Times New Roman" w:eastAsia="Times New Roman" w:hAnsi="Times New Roman"/>
          <w:sz w:val="18"/>
          <w:szCs w:val="18"/>
          <w:color w:val="auto"/>
        </w:rPr>
        <w:t>”), each Person that was a Company Stockholder immediately prior to the Effective Time (other than holders of Dissenting Shares) that delivers this Agreement or an agreement substantially similar to this Agreement duly executed to the Company (copies of which will be provided to Parent) will be entitled to, among other things, its Pro Rata Portion of the Earnout Shares, subject to the terms and conditions set forth in the Merger Agreement.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spacing w:after="0" w:line="162" w:lineRule="exact"/>
        <w:rPr>
          <w:sz w:val="20"/>
          <w:szCs w:val="20"/>
          <w:color w:val="auto"/>
        </w:rPr>
      </w:pPr>
    </w:p>
    <w:p>
      <w:pPr>
        <w:jc w:val="both"/>
        <w:ind w:firstLine="656"/>
        <w:spacing w:after="0" w:line="266" w:lineRule="auto"/>
        <w:tabs>
          <w:tab w:leader="none" w:pos="1417"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Earnout Election</w:t>
      </w:r>
      <w:r>
        <w:rPr>
          <w:rFonts w:ascii="Times New Roman" w:cs="Times New Roman" w:eastAsia="Times New Roman" w:hAnsi="Times New Roman"/>
          <w:sz w:val="18"/>
          <w:szCs w:val="18"/>
          <w:color w:val="auto"/>
        </w:rPr>
        <w:t>. The parties acknowledge and agree that, effective as of and contingent upon the Closing, Holder shall be deemed an “Earnout Participant” for purposes of the Earnout Provisions and, without limiting the foregoing, shall be entitled to the rights, benefits and privileges, and subject to the restrictions and obligations, of (a) an Earnout Participant under the Earnout Provisions and (b)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40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Security Interest</w:t>
      </w:r>
      <w:r>
        <w:rPr>
          <w:rFonts w:ascii="Times New Roman" w:cs="Times New Roman" w:eastAsia="Times New Roman" w:hAnsi="Times New Roman"/>
          <w:sz w:val="18"/>
          <w:szCs w:val="18"/>
          <w:color w:val="auto"/>
        </w:rPr>
        <w:t>. The parties intend that none of Holder’s rights to receive its portion of the Earnout Shares in accordance with the Merger Agreement (“</w:t>
      </w:r>
      <w:r>
        <w:rPr>
          <w:rFonts w:ascii="Times New Roman" w:cs="Times New Roman" w:eastAsia="Times New Roman" w:hAnsi="Times New Roman"/>
          <w:sz w:val="18"/>
          <w:szCs w:val="18"/>
          <w:b w:val="1"/>
          <w:bCs w:val="1"/>
          <w:i w:val="1"/>
          <w:iCs w:val="1"/>
          <w:color w:val="auto"/>
        </w:rPr>
        <w:t>Holder’s Earnout Rights</w:t>
      </w:r>
      <w:r>
        <w:rPr>
          <w:rFonts w:ascii="Times New Roman" w:cs="Times New Roman" w:eastAsia="Times New Roman" w:hAnsi="Times New Roman"/>
          <w:sz w:val="18"/>
          <w:szCs w:val="18"/>
          <w:color w:val="auto"/>
        </w:rPr>
        <w:t>”) and any interest therein shall be deemed to be a “security” for purposes of any securities law of any jurisdiction. Holder’s Earnout Rights are deemed contractual rights in connection with the Merger and the parties do not view Holder’s Earnout Rights as an investment by Holder. Holder’s Earnout Rights will not be represented by any physical certificate or similar instrument. Holder’s Earnout Rights do not represent an equity or ownership interest in any entity. No interest in Holder’s Earnout Rights may be sold, transferred assigned, pledged, hypothecated, encumbered or otherwise disposed of, except by operation of law, and any attempt to do so shall be null and void. For the avoidance of doubt, once issued to Holder, its portion of the Earnout Shares shall be considered a “security” for purposes of any securities law of any jurisdiction and the restrictions set forth in the foregoing sentence shall not apply to such issued Earnout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22" w:name="page323"/>
    <w:bookmarkEnd w:id="322"/>
    <w:p>
      <w:pPr>
        <w:ind w:left="1340" w:hanging="684"/>
        <w:spacing w:after="0"/>
        <w:tabs>
          <w:tab w:leader="none" w:pos="134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firstLine="1304"/>
        <w:spacing w:after="0" w:line="262" w:lineRule="auto"/>
        <w:tabs>
          <w:tab w:leader="none" w:pos="1845"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Holder shall not Transfer any Subject Shares (as defined below) (the “</w:t>
      </w:r>
      <w:r>
        <w:rPr>
          <w:rFonts w:ascii="Times New Roman" w:cs="Times New Roman" w:eastAsia="Times New Roman" w:hAnsi="Times New Roman"/>
          <w:sz w:val="18"/>
          <w:szCs w:val="18"/>
          <w:b w:val="1"/>
          <w:bCs w:val="1"/>
          <w:i w:val="1"/>
          <w:iCs w:val="1"/>
          <w:color w:val="auto"/>
        </w:rPr>
        <w:t>Lock-up</w:t>
      </w:r>
      <w:r>
        <w:rPr>
          <w:rFonts w:ascii="Times New Roman" w:cs="Times New Roman" w:eastAsia="Times New Roman" w:hAnsi="Times New Roman"/>
          <w:sz w:val="18"/>
          <w:szCs w:val="18"/>
          <w:color w:val="auto"/>
        </w:rPr>
        <w:t>”) until the date that is the earlier of (i) one (1) year from the date of the Closing or (ii) the date on which Parent completes a liquidation, merger, stock exchange, reorganization or other similar transaction that results in all of Parent’s stockholders having the right to exchange their Domesticated Parent Common Shares for cash, securities or other property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firstLine="1304"/>
        <w:spacing w:after="0" w:line="286" w:lineRule="auto"/>
        <w:tabs>
          <w:tab w:leader="none" w:pos="1892"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Subject Shares</w:t>
      </w:r>
      <w:r>
        <w:rPr>
          <w:rFonts w:ascii="Times New Roman" w:cs="Times New Roman" w:eastAsia="Times New Roman" w:hAnsi="Times New Roman"/>
          <w:sz w:val="18"/>
          <w:szCs w:val="18"/>
          <w:color w:val="auto"/>
        </w:rPr>
        <w:t>” shall mean any (i) Merger Shares and (ii) Earnout Shares issued prior to the expiration of the Lock-Up Period, in each case, that are beneficially owned or owned of record by such Holder.</w:t>
      </w:r>
    </w:p>
    <w:p>
      <w:pPr>
        <w:spacing w:after="0" w:line="154" w:lineRule="exact"/>
        <w:rPr>
          <w:rFonts w:ascii="Times New Roman" w:cs="Times New Roman" w:eastAsia="Times New Roman" w:hAnsi="Times New Roman"/>
          <w:sz w:val="18"/>
          <w:szCs w:val="18"/>
          <w:color w:val="auto"/>
        </w:rPr>
      </w:pPr>
    </w:p>
    <w:p>
      <w:pPr>
        <w:jc w:val="both"/>
        <w:ind w:firstLine="1304"/>
        <w:spacing w:after="0" w:line="257" w:lineRule="auto"/>
        <w:tabs>
          <w:tab w:leader="none" w:pos="1811"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the (i) the sale or assignment of, offer to sell, contract or agreement to sell,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Subject Shares, (ii) entry into any swap or other arrangement that transfers to another, in whole or in part, any of the economic consequences of ownership of any Subject Shares, whether any such transaction is to be settled by delivery of such securities, in cash or otherwise, or (iii) public announcement of any intention to effect any transaction specified in clause (i) or (ii).</w:t>
      </w:r>
    </w:p>
    <w:p>
      <w:pPr>
        <w:spacing w:after="0" w:line="186"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Lock-Up</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not apply to:</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Subject Shares as a bona fide gift or charitable contribution;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71"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Subject Shares to a trust, family limited partnership or other entity formed for estate planning purposes for the primary benefit of the spouse, domestic partner, parent, sibling, child or grandchild of Holder or any other person with whom Holder has a relationship by blood, marriage or adoption not more remote than first cousin and Transfers to any such family member;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85"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Subject Shares by will or intestate succession or the laws of descent and distributions upon the death of Holder (it being understood and agreed that the appointment of one or more executors, administrators or personal representatives of the estate of Holder shall not be deemed a Transfer hereunder to the extent that such executors, administrators and/or personal representatives comply with the terms of this Agreement on behalf of such estate);</w:t>
      </w:r>
    </w:p>
    <w:p>
      <w:pPr>
        <w:spacing w:after="0" w:line="179"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Subject Shares pursuant to a qualified domestic order or in connection with a divorce settlement;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86"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 is a corporation, partnership (whether general, limited or otherwise), limited liability company, trust or other business entity, (i) Transfers of Subject Shares to another corporation, partnership, limited liability company, trust or other business entity that controls, is controlled by or is under common control or management with Holder (including, for the avoidance of doubt, where such Holder is a partnership, to its general partner or a successor partnership or fund, or any other funds managed by such partnership), or (ii) Transfers of Subject Shares as part of a dividend, distribution, transfer or other disposition of shares to partners, limited liability company members, direct or indirect stockholders or other equity holders of Holder, including, for the avoidance of doubt, where such Holder is a partnership, to its general partner or a successor partnership, fund or investment vehicle, or any other partnerships, funds or investment vehicles controlled or managed by such partnership;</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3" w:name="page324"/>
    <w:bookmarkEnd w:id="323"/>
    <w:p>
      <w:pPr>
        <w:ind w:left="1880" w:hanging="576"/>
        <w:spacing w:after="0"/>
        <w:tabs>
          <w:tab w:leader="none" w:pos="188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 is a trust, Transfers of Subject Shares to a trustor or beneficiary of such trust or to the estate of a beneficiary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w:t>
      </w:r>
    </w:p>
    <w:p>
      <w:pPr>
        <w:spacing w:after="0" w:line="207" w:lineRule="exact"/>
        <w:rPr>
          <w:sz w:val="20"/>
          <w:szCs w:val="20"/>
          <w:color w:val="auto"/>
        </w:rPr>
      </w:pPr>
    </w:p>
    <w:p>
      <w:pPr>
        <w:ind w:left="1820" w:hanging="516"/>
        <w:spacing w:after="0"/>
        <w:tabs>
          <w:tab w:leader="none" w:pos="182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Subject Shares to Parent’s or Holder’s officers, directors, members, consultants or their affiliates;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38"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of Subject Shares as security or collateral in connection with any borrowing or the incurrence of any indebtedness by any Holder (provided such borrowing or incurrence of indebtedness is secured by a portfolio of assets or equity interests issued by multiple issuers);</w:t>
      </w:r>
    </w:p>
    <w:p>
      <w:pPr>
        <w:spacing w:after="0" w:line="15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31"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Subject Shares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third-party tender offer, merger, asset acquisition, stock sale, recapitalization, consolidation, business combination or other transaction or series of related transactions involving a Change in Control in Parent, provided that in the event that such tender offer, merger, asset acquisition, stock sale, recapitalization, consolidation, business combination or other such transaction is not completed, the securities subject to this Agreement shall remain subject to this Agreement;</w:t>
      </w:r>
    </w:p>
    <w:p>
      <w:pPr>
        <w:spacing w:after="0" w:line="181" w:lineRule="exact"/>
        <w:rPr>
          <w:rFonts w:ascii="Times New Roman" w:cs="Times New Roman" w:eastAsia="Times New Roman" w:hAnsi="Times New Roman"/>
          <w:sz w:val="18"/>
          <w:szCs w:val="18"/>
          <w:color w:val="auto"/>
        </w:rPr>
      </w:pPr>
    </w:p>
    <w:p>
      <w:pPr>
        <w:ind w:firstLine="1304"/>
        <w:spacing w:after="0" w:line="282" w:lineRule="auto"/>
        <w:tabs>
          <w:tab w:leader="none" w:pos="1783"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Subject Shares to Parent in connection with the liquidation or dissolution of Parent by virtue of the laws of the state of Parent’s organization and Parent’s organizational documents;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87"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promulgated under the Exchange Act, provided that such plan does not provide for the Transfer of any Subject Shares during the Lock-Up Period;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13"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Subject Shares to satisfy any U.S. federal, state, or local income tax obligations of the Lock-up Party (or its direct or indirect owners) arising from a change in the U.S.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or the U.S. Treasury Regulations promulgated thereunder (the “</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after the date on which the Merger Agreement was executed by the parties, and such change prevents the Merger from qualifying as a “reorganization” pursuant to Section 368 of the Code (and the Merger does not qualify for similar tax-free treatment pursuant to any successor or other provision of the Code or Regulations taking into account such changes), in each case solely and to the extent necessary to cover any tax liability as a direct result of the transaction;</w:t>
      </w:r>
    </w:p>
    <w:p>
      <w:pPr>
        <w:spacing w:after="0" w:line="18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PROVIDED, THAT IN THE CASE OF ANY TRANSFER OR DISTRIBUTION PURSUANT TO SECTIONS 4(a) THROUGH 4(g) AND 4(l), EACH DONEE, DISTRIBUTEE OR OTHER TRANSFEREE SHALL AGREE IN WRITING, IN FORM AND SUBSTANCE REASONABLY SATISFACTORY TO PARENT, TO BE BOUND BY THE PROVISIONS OF THIS AGREEMENT.</w:t>
      </w:r>
    </w:p>
    <w:p>
      <w:pPr>
        <w:spacing w:after="0" w:line="175" w:lineRule="exact"/>
        <w:rPr>
          <w:sz w:val="20"/>
          <w:szCs w:val="20"/>
          <w:color w:val="auto"/>
        </w:rPr>
      </w:pPr>
    </w:p>
    <w:p>
      <w:pPr>
        <w:jc w:val="both"/>
        <w:ind w:firstLine="656"/>
        <w:spacing w:after="0" w:line="266" w:lineRule="auto"/>
        <w:tabs>
          <w:tab w:leader="none" w:pos="1323"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Null and Void</w:t>
      </w:r>
      <w:r>
        <w:rPr>
          <w:rFonts w:ascii="Times New Roman" w:cs="Times New Roman" w:eastAsia="Times New Roman" w:hAnsi="Times New Roman"/>
          <w:sz w:val="18"/>
          <w:szCs w:val="18"/>
          <w:color w:val="auto"/>
        </w:rPr>
        <w:t xml:space="preserve">. If any Transfer of Subject Shares prior to the end of the Lock-up Period is made or attempted contrary to the provisions of this Agreement, such purported Transfer shall be null and void </w:t>
      </w:r>
      <w:r>
        <w:rPr>
          <w:rFonts w:ascii="Times New Roman" w:cs="Times New Roman" w:eastAsia="Times New Roman" w:hAnsi="Times New Roman"/>
          <w:sz w:val="18"/>
          <w:szCs w:val="18"/>
          <w:i w:val="1"/>
          <w:iCs w:val="1"/>
          <w:color w:val="auto"/>
        </w:rPr>
        <w:t>ab initi</w:t>
      </w:r>
      <w:r>
        <w:rPr>
          <w:rFonts w:ascii="Times New Roman" w:cs="Times New Roman" w:eastAsia="Times New Roman" w:hAnsi="Times New Roman"/>
          <w:sz w:val="18"/>
          <w:szCs w:val="18"/>
          <w:color w:val="auto"/>
        </w:rPr>
        <w:t>o, and Parent shall refuse to recognize any such purported transferee of such Subject Shares as one of its equityholders for any purpose.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4" w:name="page325"/>
    <w:bookmarkEnd w:id="324"/>
    <w:p>
      <w:pPr>
        <w:ind w:firstLine="656"/>
        <w:spacing w:after="0" w:line="282" w:lineRule="auto"/>
        <w:tabs>
          <w:tab w:leader="none" w:pos="1512"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During the Lock-up Period, each certificate evidencing any Subject Shares shall be stamped or otherwise imprinted with a legend in substantially the following form, in addition to any other applicable legends: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SECURITIES REPRESENTED BY THIS CERTIFICATE ARE SUBJECT TO RESTRICTIONS ON TRANSFER SET FORTH IN AN EARNOUT ELECTION AGREEMENT, DATED AS OF [•], 2022 (AS MAY BE AMENDED OR RESTATED FROM TIME TO TIME), A COPY OF WHICH IS ON FILE WITH THE SECRETARY OF THE COMPANY. NO TRANSFER, SALE, ASSIGNMENT, PLEDGE, HYPOTHECATION OR OTHER DISPOSITION OF THE SECURITIES REPRESENTED BY THIS CERTIFICATE MAY BE MADE EXCEPT IN ACCORDANCE WITH THE PROVISIONS OF SUCH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Promptly upon the expiration of the Lock-up Period, Parent shall cause the removal of such legend and, if determined appropriate by Parent, any restrictive legend related to compliance with the federal securities laws from the certificates evidencing the Subject Shares.</w:t>
      </w:r>
    </w:p>
    <w:p>
      <w:pPr>
        <w:spacing w:after="0" w:line="162" w:lineRule="exact"/>
        <w:rPr>
          <w:sz w:val="20"/>
          <w:szCs w:val="20"/>
          <w:color w:val="auto"/>
        </w:rPr>
      </w:pPr>
    </w:p>
    <w:p>
      <w:pPr>
        <w:jc w:val="both"/>
        <w:ind w:firstLine="656"/>
        <w:spacing w:after="0" w:line="253" w:lineRule="auto"/>
        <w:tabs>
          <w:tab w:leader="none" w:pos="133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Holder represents and warrants to Parent and the Company as follows: (a) this Agreement has been duly executed and delivered by Holder and, assuming due authorization, execution and delivery by the other parties to this Agreement, this Agreement constitutes a legally valid and binding obligation of Holder, enforceable against Holder in accordance with the terms hereof (except as enforceability may be limited by bankruptcy Laws, other similar Laws affecting creditors’ rights and general principles of equity affecting the availability of specific performance and other equitable remedies); (b) the execution and delivery of this Agreement by Holder does not, and the performance by Holder of his, her or its obligations hereunder will not, (i) if such Holder is not an individual, conflict with or result in a violation of the organizational documents of Holder or (ii) require any consent or approval that has not been given or other action that has not been taken by any Person (including under any contract binding upon Holder), in each case, to the extent such consent, approval or other action would prevent, enjoin or materially delay the performance by Holder of its, his or her obligations under this Agreement; (c) Holder has not entered into, and shall not enter into or otherwise amend, any contract or other agreement that would result in the restriction, limitation or interference with the performance of Holder’s obligations hereunder; (d) Holder acknowledges that it has had the opportunity to review this Agreement and the transactions contemplated by this Agreement with Holder’s own legal counsel, investment and tax advisors; and (e) Holder is not relying on any statements or representations of Parent or any of its representatives or agents for legal, tax or investment advice with respect to this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152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hereunder shall be sent in writing, addressed as specified below, and shall be deemed given: (a) if by hand or recognized courier service, by 4:00 PM on a business day, addressee’s day and time, on the date of delivery, and otherwise on the first business day after such delivery; (b) if by fax or email, on the date that transmission is confirmed electronically, if by 4:00 PM on a business day, addressee’s day and time, and otherwise on the first business day after the date of such confirmation; or (c) five days after mailing by certified or registered mail, return receipt requested. Notices shall be addressed to the respective parties as follows, or to such other address as a party shall specify to the others in accordance with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Parent or the Company,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Orchestra BioMed,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150 Union Square Drive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Hope PA 18938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David Hochman, Chairman &amp; CEO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DHochman@orchestrabiomed.com,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5" w:name="page326"/>
    <w:bookmarkEnd w:id="325"/>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10166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Samuel A. Waxman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samuelwaxman@paulhastings.com;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any Holder, at such Holder’s address or contact information as set forth in Parent’s books and records.</w:t>
      </w:r>
    </w:p>
    <w:p>
      <w:pPr>
        <w:spacing w:after="0" w:line="225" w:lineRule="exact"/>
        <w:rPr>
          <w:sz w:val="20"/>
          <w:szCs w:val="20"/>
          <w:color w:val="auto"/>
        </w:rPr>
      </w:pPr>
    </w:p>
    <w:p>
      <w:pPr>
        <w:jc w:val="both"/>
        <w:ind w:firstLine="656"/>
        <w:spacing w:after="0" w:line="266" w:lineRule="auto"/>
        <w:tabs>
          <w:tab w:leader="none" w:pos="1417"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3"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separate counterparts, each of which shall constitute an original, and all of which together shall constitute one and the same agreement binding on all the parties hereto. This Agreement shall become effective upon delivery to each party of an executed counterpart or the earlier delivery to each party of original, photocopied, or electronically transmitted signature pages that together (but need not individually) bear the signatures of all other parties. For the avoidance of doubt, each party agrees that an electronic copy of this Agreement shall be considered and treated like an original, and that an electronic or digital signature shall be as valid as a handwritten signature (including</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.pdf or any electronic signature complying with the U.S. federal ESIGN Act of 2000 (e.g., www.docusign.com)).</w:t>
      </w:r>
    </w:p>
    <w:p>
      <w:pPr>
        <w:spacing w:after="0" w:line="206" w:lineRule="exact"/>
        <w:rPr>
          <w:rFonts w:ascii="Times New Roman" w:cs="Times New Roman" w:eastAsia="Times New Roman" w:hAnsi="Times New Roman"/>
          <w:sz w:val="18"/>
          <w:szCs w:val="18"/>
          <w:color w:val="auto"/>
        </w:rPr>
      </w:pPr>
    </w:p>
    <w:p>
      <w:pPr>
        <w:jc w:val="both"/>
        <w:ind w:firstLine="656"/>
        <w:spacing w:after="0" w:line="253" w:lineRule="auto"/>
        <w:tabs>
          <w:tab w:leader="none" w:pos="1478"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xml:space="preserve">. This Agreement shall be construed in accordance with and governed by the laws of the State of Delaware, without giving effect to the conflict of laws principles thereof. Any Action based upon, arising out of or related to this Agreement or the transactions contemplated hereby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(i) submits to the exclusive jurisdiction of each such court in any such proceeding or Action, (ii) waives any objection it may now or hereafter have to personal jurisdiction, venue or to convenience of forum, (iii) agrees that all claims in respect of the proceeding or Action shall be heard and determined only in any such court, and (iv) agrees not to bring any proceeding or Action arising out of or relating to this Agreement or the transactions contemplated hereby in any other court. Nothing herein contained shall be deemed to affect the right of any party to serve process in any manner permitted by Law or to commence Proceedings or otherwise proceed against any other party in any other jurisdiction, in each case, to enforce judgments obtained in any Action brought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1498"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PARTIES TO THIS AGREEMENT HEREBY KNOWINGLY, VOLUNTARILY AND IRREVOCABLY WAIVE ANY RIGHT EACH SUCH PARTY MAY HAVE TO TRIAL BY JURY IN ANY ACTION OF ANY KIND OR NATURE, IN ANY COURT IN WHICH AN ACTION MAY BE COMMENCED, ARISING OUT OF OR IN CONNECTION WITH THIS AGREEMENT OR ANY ADDITIONAL AGREEMENT, OR BY REASON OF ANY OTHER CAUSE OR DISPUTE WHATSOEVER BETWEEN OR AMONG ANY OF THE PARTIES TO THIS AGREEMENT OF ANY KIND OR NATURE. NO PARTY SHALL BE AWARDED PUNITIVE OR OTHER EXEMPLARY DAMAGES RESPECTING ANY DISPUTE ARISING UNDER THIS AGREEMENT OR ANY ADDITIONAL AGREEMENT.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6" w:name="page327"/>
    <w:bookmarkEnd w:id="326"/>
    <w:p>
      <w:pPr>
        <w:jc w:val="both"/>
        <w:ind w:left="-20" w:firstLine="656"/>
        <w:spacing w:after="0" w:line="266" w:lineRule="auto"/>
        <w:tabs>
          <w:tab w:leader="none" w:pos="133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w:t>
      </w:r>
      <w:r>
        <w:rPr>
          <w:rFonts w:ascii="Times New Roman" w:cs="Times New Roman" w:eastAsia="Times New Roman" w:hAnsi="Times New Roman"/>
          <w:sz w:val="18"/>
          <w:szCs w:val="18"/>
          <w:color w:val="auto"/>
        </w:rPr>
        <w:t>. 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357"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upon the earlier of (a) termination of the Merger Agreement in accordance with its terms; (b) the later of (i) the expiration of the Lock-Up Period and (ii) the date in which all Earnout Shares to which Holder may be entitled to receive pursuant to Holder’s Earnout Rights have been issued to Holder; (c) the expiration of the Earnout Period; and (d) mutual written agreement by the parties.</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33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327" w:name="page328"/>
    <w:bookmarkEnd w:id="32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Earnout Election Agreement to be executed and delivered by their duly authorized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SCIENCES ACQUISITIONS CORPORATION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ORCHESTRA BIOMED,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5661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8" w:name="page329"/>
    <w:bookmarkEnd w:id="328"/>
    <w:p>
      <w:pPr>
        <w:ind w:left="90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483870</wp:posOffset>
            </wp:positionV>
            <wp:extent cx="7132320" cy="41490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0" w:num="1">
            <w:col w:w="10120"/>
          </w:cols>
          <w:pgMar w:left="1440" w:top="270" w:right="339" w:bottom="1440" w:gutter="0" w:footer="0" w:header="0"/>
        </w:sectPr>
      </w:pPr>
    </w:p>
    <w:bookmarkStart w:id="329" w:name="page330"/>
    <w:bookmarkEnd w:id="3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833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418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0" w:name="page331"/>
    <w:bookmarkEnd w:id="3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751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417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1" w:name="page332"/>
    <w:bookmarkEnd w:id="3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579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2" w:name="page333"/>
    <w:bookmarkEnd w:id="3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8233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382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3" w:name="page334"/>
    <w:bookmarkEnd w:id="3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4" w:name="page335"/>
    <w:bookmarkEnd w:id="3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5" w:name="page336"/>
    <w:bookmarkEnd w:id="3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579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415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6" w:name="page337"/>
    <w:bookmarkEnd w:id="3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7" w:name="page338"/>
    <w:bookmarkEnd w:id="3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8" w:name="page339"/>
    <w:bookmarkEnd w:id="3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9" w:name="page340"/>
    <w:bookmarkEnd w:id="3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0" w:name="page341"/>
    <w:bookmarkEnd w:id="3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1" w:name="page342"/>
    <w:bookmarkEnd w:id="3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573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4157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2" w:name="page343"/>
    <w:bookmarkEnd w:id="3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3" w:name="page344"/>
    <w:bookmarkEnd w:id="3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573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4157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5" w:name="page346"/>
    <w:bookmarkEnd w:id="3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6" w:name="page347"/>
    <w:bookmarkEnd w:id="3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7" w:name="page348"/>
    <w:bookmarkEnd w:id="3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4220845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9" w:name="page350"/>
    <w:bookmarkEnd w:id="3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0" w:name="page351"/>
    <w:bookmarkEnd w:id="3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1" w:name="page352"/>
    <w:bookmarkEnd w:id="3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2" w:name="page353"/>
    <w:bookmarkEnd w:id="3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3" w:name="page354"/>
    <w:bookmarkEnd w:id="3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4" w:name="page355"/>
    <w:bookmarkEnd w:id="3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5" w:name="page356"/>
    <w:bookmarkEnd w:id="3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6" w:name="page357"/>
    <w:bookmarkEnd w:id="3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662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4166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8" w:name="page359"/>
    <w:bookmarkEnd w:id="3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744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417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9" w:name="page360"/>
    <w:bookmarkEnd w:id="3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0976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0" w:name="page361"/>
    <w:bookmarkEnd w:id="360"/>
    <w:p>
      <w:pPr>
        <w:jc w:val="right"/>
        <w:spacing w:after="0"/>
        <w:rPr>
          <w:sz w:val="20"/>
          <w:szCs w:val="20"/>
          <w:color w:val="auto"/>
        </w:rPr>
      </w:pPr>
      <w:r>
        <w:rPr>
          <w:rFonts w:ascii="Times New Roman" w:cs="Times New Roman" w:eastAsia="Times New Roman" w:hAnsi="Times New Roman"/>
          <w:sz w:val="22"/>
          <w:szCs w:val="22"/>
          <w:b w:val="1"/>
          <w:bCs w:val="1"/>
          <w:color w:val="40404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321945</wp:posOffset>
            </wp:positionV>
            <wp:extent cx="4928870" cy="6343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92887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404040"/>
        </w:rPr>
        <w:t>Orchestra BioMed</w:t>
      </w:r>
      <w:r>
        <w:rPr>
          <w:rFonts w:ascii="Times New Roman" w:cs="Times New Roman" w:eastAsia="Times New Roman" w:hAnsi="Times New Roman"/>
          <w:sz w:val="22"/>
          <w:szCs w:val="22"/>
          <w:color w:val="404040"/>
        </w:rPr>
        <w:t>™</w:t>
      </w:r>
      <w:r>
        <w:rPr>
          <w:rFonts w:ascii="Times New Roman" w:cs="Times New Roman" w:eastAsia="Times New Roman" w:hAnsi="Times New Roman"/>
          <w:sz w:val="22"/>
          <w:szCs w:val="22"/>
          <w:b w:val="1"/>
          <w:bCs w:val="1"/>
          <w:color w:val="404040"/>
        </w:rPr>
        <w:t xml:space="preserve"> Announces Strategic Collaboration, Closing of $110 Million Private Equity Financing and Plans to List on Nasdaq Through Merger with Health Sciences Acquisitions Corporation 2</w:t>
      </w:r>
    </w:p>
    <w:p>
      <w:pPr>
        <w:spacing w:after="0" w:line="177"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i w:val="1"/>
          <w:iCs w:val="1"/>
          <w:color w:val="404040"/>
        </w:rPr>
        <w:t>Strategic collaboration with Medtronic to develop BackBeat Cardiac Neuromodulation Therapy™ as potential integrated hypertension treatment for cardiac pacemaker patients</w:t>
      </w:r>
    </w:p>
    <w:p>
      <w:pPr>
        <w:spacing w:after="0" w:line="177"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i w:val="1"/>
          <w:iCs w:val="1"/>
          <w:color w:val="404040"/>
        </w:rPr>
        <w:t>Investors in $110 million Series D financing include Medtronic and Terumo as well as lead investor RTW Investments and founding investor Perceptive Advisors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404040"/>
        </w:rPr>
        <w:t>Business combination with Health Sciences Acquisitions Corporation 2 (Nasdaq: HSAQ) (the “Business Combination”); upon</w:t>
      </w:r>
    </w:p>
    <w:p>
      <w:pPr>
        <w:spacing w:after="0" w:line="18" w:lineRule="exact"/>
        <w:rPr>
          <w:sz w:val="20"/>
          <w:szCs w:val="20"/>
          <w:color w:val="auto"/>
        </w:rPr>
      </w:pPr>
    </w:p>
    <w:p>
      <w:pPr>
        <w:jc w:val="center"/>
        <w:ind w:left="340" w:right="280"/>
        <w:spacing w:after="0" w:line="235" w:lineRule="auto"/>
        <w:rPr>
          <w:sz w:val="20"/>
          <w:szCs w:val="20"/>
          <w:color w:val="auto"/>
        </w:rPr>
      </w:pPr>
      <w:r>
        <w:rPr>
          <w:rFonts w:ascii="Times New Roman" w:cs="Times New Roman" w:eastAsia="Times New Roman" w:hAnsi="Times New Roman"/>
          <w:sz w:val="22"/>
          <w:szCs w:val="22"/>
          <w:i w:val="1"/>
          <w:iCs w:val="1"/>
          <w:color w:val="404040"/>
        </w:rPr>
        <w:t>closing, the common stock of the combined company is expected to be listed on Nasdaq under the ticker symbol “OBIO”; Business Combination is supported by $20 million in total forward purchase agreements and an up to $50 million backstop agreement</w:t>
      </w:r>
    </w:p>
    <w:p>
      <w:pPr>
        <w:spacing w:after="0" w:line="201" w:lineRule="exact"/>
        <w:rPr>
          <w:sz w:val="20"/>
          <w:szCs w:val="20"/>
          <w:color w:val="auto"/>
        </w:rPr>
      </w:pPr>
    </w:p>
    <w:p>
      <w:pPr>
        <w:jc w:val="center"/>
        <w:ind w:left="340"/>
        <w:spacing w:after="0" w:line="262" w:lineRule="auto"/>
        <w:rPr>
          <w:sz w:val="20"/>
          <w:szCs w:val="20"/>
          <w:color w:val="auto"/>
        </w:rPr>
      </w:pPr>
      <w:r>
        <w:rPr>
          <w:rFonts w:ascii="Times New Roman" w:cs="Times New Roman" w:eastAsia="Times New Roman" w:hAnsi="Times New Roman"/>
          <w:sz w:val="22"/>
          <w:szCs w:val="22"/>
          <w:i w:val="1"/>
          <w:iCs w:val="1"/>
          <w:color w:val="404040"/>
        </w:rPr>
        <w:t>Business Combination and completed private equity financing are structured to ensure total gross proceeds of a minimum of $180 million, which is expected to fund the combined company into 2026 based on current plans and estimates</w:t>
      </w:r>
    </w:p>
    <w:p>
      <w:pPr>
        <w:spacing w:after="0" w:line="181"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404040"/>
        </w:rPr>
        <w:t>NEW HOPE, PA; NEW YORK, NY – July 5, 2022 – Orchestra BioMed™, Inc. (“Orchestra BioMed”), a biomedical company accelerating high-impact technologies to patients through risk-reward sharing partnerships, and Health Sciences Acquisitions Corporation 2 (“HSAC2”) today announced multiple significant transactions including:</w:t>
      </w:r>
    </w:p>
    <w:p>
      <w:pPr>
        <w:spacing w:after="0" w:line="206" w:lineRule="exact"/>
        <w:rPr>
          <w:sz w:val="20"/>
          <w:szCs w:val="20"/>
          <w:color w:val="auto"/>
        </w:rPr>
      </w:pPr>
    </w:p>
    <w:p>
      <w:pPr>
        <w:ind w:left="660" w:right="920" w:hanging="328"/>
        <w:spacing w:after="0" w:line="317" w:lineRule="auto"/>
        <w:tabs>
          <w:tab w:leader="none" w:pos="660" w:val="left"/>
        </w:tabs>
        <w:numPr>
          <w:ilvl w:val="0"/>
          <w:numId w:val="372"/>
        </w:numPr>
        <w:rPr>
          <w:rFonts w:ascii="Times New Roman" w:cs="Times New Roman" w:eastAsia="Times New Roman" w:hAnsi="Times New Roman"/>
          <w:sz w:val="17"/>
          <w:szCs w:val="17"/>
          <w:color w:val="404040"/>
        </w:rPr>
      </w:pPr>
      <w:r>
        <w:rPr>
          <w:rFonts w:ascii="Times New Roman" w:cs="Times New Roman" w:eastAsia="Times New Roman" w:hAnsi="Times New Roman"/>
          <w:sz w:val="17"/>
          <w:szCs w:val="17"/>
          <w:b w:val="1"/>
          <w:bCs w:val="1"/>
          <w:color w:val="404040"/>
        </w:rPr>
        <w:t xml:space="preserve">A global strategic collaboration between Orchestra BioMed and Medtronic </w:t>
      </w:r>
      <w:r>
        <w:rPr>
          <w:rFonts w:ascii="Times New Roman" w:cs="Times New Roman" w:eastAsia="Times New Roman" w:hAnsi="Times New Roman"/>
          <w:sz w:val="17"/>
          <w:szCs w:val="17"/>
          <w:color w:val="404040"/>
        </w:rPr>
        <w:t>to develop Orchestra BioMed BackBeat Cardiac</w:t>
      </w:r>
      <w:r>
        <w:rPr>
          <w:rFonts w:ascii="Times New Roman" w:cs="Times New Roman" w:eastAsia="Times New Roman" w:hAnsi="Times New Roman"/>
          <w:sz w:val="17"/>
          <w:szCs w:val="17"/>
          <w:b w:val="1"/>
          <w:bCs w:val="1"/>
          <w:color w:val="404040"/>
        </w:rPr>
        <w:t xml:space="preserve"> </w:t>
      </w:r>
      <w:r>
        <w:rPr>
          <w:rFonts w:ascii="Times New Roman" w:cs="Times New Roman" w:eastAsia="Times New Roman" w:hAnsi="Times New Roman"/>
          <w:sz w:val="17"/>
          <w:szCs w:val="17"/>
          <w:color w:val="404040"/>
        </w:rPr>
        <w:t>Neuromodulation Therapy™ (CNT™) as a potential treatment for hypertension in patients who are indicated for a cardiac pacemaker.</w:t>
      </w:r>
    </w:p>
    <w:p>
      <w:pPr>
        <w:spacing w:after="0" w:line="158" w:lineRule="exact"/>
        <w:rPr>
          <w:rFonts w:ascii="Times New Roman" w:cs="Times New Roman" w:eastAsia="Times New Roman" w:hAnsi="Times New Roman"/>
          <w:sz w:val="17"/>
          <w:szCs w:val="17"/>
          <w:color w:val="404040"/>
        </w:rPr>
      </w:pPr>
    </w:p>
    <w:p>
      <w:pPr>
        <w:ind w:left="660" w:right="700" w:hanging="328"/>
        <w:spacing w:after="0" w:line="268" w:lineRule="auto"/>
        <w:tabs>
          <w:tab w:leader="none" w:pos="660" w:val="left"/>
        </w:tabs>
        <w:numPr>
          <w:ilvl w:val="0"/>
          <w:numId w:val="372"/>
        </w:numPr>
        <w:rPr>
          <w:rFonts w:ascii="Times New Roman" w:cs="Times New Roman" w:eastAsia="Times New Roman" w:hAnsi="Times New Roman"/>
          <w:sz w:val="18"/>
          <w:szCs w:val="18"/>
          <w:color w:val="404040"/>
        </w:rPr>
      </w:pPr>
      <w:r>
        <w:rPr>
          <w:rFonts w:ascii="Times New Roman" w:cs="Times New Roman" w:eastAsia="Times New Roman" w:hAnsi="Times New Roman"/>
          <w:sz w:val="18"/>
          <w:szCs w:val="18"/>
          <w:b w:val="1"/>
          <w:bCs w:val="1"/>
          <w:color w:val="404040"/>
        </w:rPr>
        <w:t xml:space="preserve">The closing of Orchestra BioMed’s $110 million Series D financing, </w:t>
      </w:r>
      <w:r>
        <w:rPr>
          <w:rFonts w:ascii="Times New Roman" w:cs="Times New Roman" w:eastAsia="Times New Roman" w:hAnsi="Times New Roman"/>
          <w:sz w:val="18"/>
          <w:szCs w:val="18"/>
          <w:color w:val="404040"/>
        </w:rPr>
        <w:t>including investments by Medtronic, funds managed by RTW</w:t>
      </w:r>
      <w:r>
        <w:rPr>
          <w:rFonts w:ascii="Times New Roman" w:cs="Times New Roman" w:eastAsia="Times New Roman" w:hAnsi="Times New Roman"/>
          <w:sz w:val="18"/>
          <w:szCs w:val="18"/>
          <w:b w:val="1"/>
          <w:bCs w:val="1"/>
          <w:color w:val="404040"/>
        </w:rPr>
        <w:t xml:space="preserve"> </w:t>
      </w:r>
      <w:r>
        <w:rPr>
          <w:rFonts w:ascii="Times New Roman" w:cs="Times New Roman" w:eastAsia="Times New Roman" w:hAnsi="Times New Roman"/>
          <w:sz w:val="18"/>
          <w:szCs w:val="18"/>
          <w:color w:val="404040"/>
        </w:rPr>
        <w:t>Investments, LP (“RTW”), Perceptive Advisors, Terumo Corporation (“Terumo”), SternAegis Ventures and other investors. The Series D financing was not contingent on the consummation of the Business Combination.</w:t>
      </w:r>
    </w:p>
    <w:p>
      <w:pPr>
        <w:spacing w:after="0" w:line="197" w:lineRule="exact"/>
        <w:rPr>
          <w:rFonts w:ascii="Times New Roman" w:cs="Times New Roman" w:eastAsia="Times New Roman" w:hAnsi="Times New Roman"/>
          <w:sz w:val="18"/>
          <w:szCs w:val="18"/>
          <w:color w:val="404040"/>
        </w:rPr>
      </w:pPr>
    </w:p>
    <w:p>
      <w:pPr>
        <w:ind w:left="660" w:right="20" w:hanging="328"/>
        <w:spacing w:after="0" w:line="254" w:lineRule="auto"/>
        <w:tabs>
          <w:tab w:leader="none" w:pos="660" w:val="left"/>
        </w:tabs>
        <w:numPr>
          <w:ilvl w:val="0"/>
          <w:numId w:val="372"/>
        </w:numPr>
        <w:rPr>
          <w:rFonts w:ascii="Times New Roman" w:cs="Times New Roman" w:eastAsia="Times New Roman" w:hAnsi="Times New Roman"/>
          <w:sz w:val="18"/>
          <w:szCs w:val="18"/>
          <w:color w:val="404040"/>
        </w:rPr>
      </w:pPr>
      <w:r>
        <w:rPr>
          <w:rFonts w:ascii="Times New Roman" w:cs="Times New Roman" w:eastAsia="Times New Roman" w:hAnsi="Times New Roman"/>
          <w:sz w:val="18"/>
          <w:szCs w:val="18"/>
          <w:b w:val="1"/>
          <w:bCs w:val="1"/>
          <w:color w:val="404040"/>
        </w:rPr>
        <w:t>A definitive Business Combination agreement between Orchestra BioMed and HSAC2</w:t>
      </w:r>
      <w:r>
        <w:rPr>
          <w:rFonts w:ascii="Times New Roman" w:cs="Times New Roman" w:eastAsia="Times New Roman" w:hAnsi="Times New Roman"/>
          <w:sz w:val="18"/>
          <w:szCs w:val="18"/>
          <w:color w:val="404040"/>
        </w:rPr>
        <w:t>,</w:t>
      </w:r>
      <w:r>
        <w:rPr>
          <w:rFonts w:ascii="Times New Roman" w:cs="Times New Roman" w:eastAsia="Times New Roman" w:hAnsi="Times New Roman"/>
          <w:sz w:val="18"/>
          <w:szCs w:val="18"/>
          <w:b w:val="1"/>
          <w:bCs w:val="1"/>
          <w:color w:val="404040"/>
        </w:rPr>
        <w:t xml:space="preserve"> which is structured to provide a minimum of $70 million in gross proceeds to the combined company at closing, and up to $160 million in the event of no redemptions by HSAC2 shareholders. </w:t>
      </w:r>
      <w:r>
        <w:rPr>
          <w:rFonts w:ascii="Times New Roman" w:cs="Times New Roman" w:eastAsia="Times New Roman" w:hAnsi="Times New Roman"/>
          <w:sz w:val="18"/>
          <w:szCs w:val="18"/>
          <w:color w:val="404040"/>
        </w:rPr>
        <w:t>The Business Combination agreement includes $20 million in total forward purchase agreements from Medtronic and RTW (an</w:t>
      </w:r>
      <w:r>
        <w:rPr>
          <w:rFonts w:ascii="Times New Roman" w:cs="Times New Roman" w:eastAsia="Times New Roman" w:hAnsi="Times New Roman"/>
          <w:sz w:val="18"/>
          <w:szCs w:val="18"/>
          <w:b w:val="1"/>
          <w:bCs w:val="1"/>
          <w:color w:val="404040"/>
        </w:rPr>
        <w:t xml:space="preserve"> </w:t>
      </w:r>
      <w:r>
        <w:rPr>
          <w:rFonts w:ascii="Times New Roman" w:cs="Times New Roman" w:eastAsia="Times New Roman" w:hAnsi="Times New Roman"/>
          <w:sz w:val="18"/>
          <w:szCs w:val="18"/>
          <w:color w:val="404040"/>
        </w:rPr>
        <w:t>affiliate of HSAC2’s sponsor and a leading life sciences investment firm), as well as an up to $50 million trust backstop agreement with RTW. The combined company is expected to have a fully diluted pro forma market cap of $407 million assuming no redemptions and $317 million assuming the minimum gross cash condition is met. The combined company’s pro forma fully diluted enterprise value is expected to be $158 million. Upon closing of the transaction, the combined company will be named Orchestra BioMed Holdings, Inc. (“Orchestra BioMed Holdings” or the “Company”) and will be led by David Hochman, Chairman, Chief Executive Officer, and Co-founder of Orchestra BioMed. The common stock of the combined company will be listed on Nasdaq under the ticker symbol “OBIO”.</w:t>
      </w:r>
    </w:p>
    <w:p>
      <w:pPr>
        <w:spacing w:after="0" w:line="219" w:lineRule="exact"/>
        <w:rPr>
          <w:rFonts w:ascii="Times New Roman" w:cs="Times New Roman" w:eastAsia="Times New Roman" w:hAnsi="Times New Roman"/>
          <w:sz w:val="18"/>
          <w:szCs w:val="18"/>
          <w:color w:val="404040"/>
        </w:rPr>
      </w:pPr>
    </w:p>
    <w:p>
      <w:pPr>
        <w:ind w:left="660" w:right="500" w:hanging="328"/>
        <w:spacing w:after="0" w:line="266" w:lineRule="auto"/>
        <w:tabs>
          <w:tab w:leader="none" w:pos="660" w:val="left"/>
        </w:tabs>
        <w:numPr>
          <w:ilvl w:val="0"/>
          <w:numId w:val="372"/>
        </w:numPr>
        <w:rPr>
          <w:rFonts w:ascii="Times New Roman" w:cs="Times New Roman" w:eastAsia="Times New Roman" w:hAnsi="Times New Roman"/>
          <w:sz w:val="18"/>
          <w:szCs w:val="18"/>
          <w:color w:val="404040"/>
        </w:rPr>
      </w:pPr>
      <w:r>
        <w:rPr>
          <w:rFonts w:ascii="Times New Roman" w:cs="Times New Roman" w:eastAsia="Times New Roman" w:hAnsi="Times New Roman"/>
          <w:sz w:val="18"/>
          <w:szCs w:val="18"/>
          <w:color w:val="404040"/>
        </w:rPr>
        <w:t>On a pro forma basis, Orchestra BioMed Holdings is expected to receive a minimum of $180 million in gross proceeds from the Business Combination and Series D financing. Assuming the minimum pro forma cash balance, the combined company is expected to have sufficient capital to fund operations into 2026 based on current plans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61" w:name="page362"/>
    <w:bookmarkEnd w:id="361"/>
    <w:p>
      <w:pPr>
        <w:ind w:right="140"/>
        <w:spacing w:after="0" w:line="234" w:lineRule="auto"/>
        <w:rPr>
          <w:sz w:val="20"/>
          <w:szCs w:val="20"/>
          <w:color w:val="auto"/>
        </w:rPr>
      </w:pPr>
      <w:r>
        <w:rPr>
          <w:rFonts w:ascii="Times New Roman" w:cs="Times New Roman" w:eastAsia="Times New Roman" w:hAnsi="Times New Roman"/>
          <w:sz w:val="22"/>
          <w:szCs w:val="22"/>
          <w:color w:val="404040"/>
        </w:rPr>
        <w:t>“These significant transactions further validate the potential of Orchestra BioMed’s flagship development programs and our novel partnership-enabled business model. As the global leader in advanced cardiac pacing therapies, Medtronic is the ideal company to help us develop BackBeat CNT for the treatment of hypertension, which is remarkably common and drives significant health risk in the pacemaker population,” said David Hochman, Chairman, CEO and Co-Founder of Orchestra BioMed. “This new collaboration along with our established strategic partnership with Terumo for the development and commercialization of Virtue® Sirolimus AngioInfusion™ Balloon (SAB) for the treatment of artery disease exemplify our commitment to developing potential high-impact medical innovations with global medical technology leaders. The capital proceeds from our Series D financing and planned Business Combination provide Orchestra BioMed with a substantial financial runway and position us to achieve major milestones.”</w:t>
      </w:r>
    </w:p>
    <w:p>
      <w:pPr>
        <w:spacing w:after="0" w:line="211" w:lineRule="exact"/>
        <w:rPr>
          <w:sz w:val="20"/>
          <w:szCs w:val="20"/>
          <w:color w:val="auto"/>
        </w:rPr>
      </w:pPr>
    </w:p>
    <w:p>
      <w:pPr>
        <w:ind w:right="140"/>
        <w:spacing w:after="0" w:line="217" w:lineRule="auto"/>
        <w:rPr>
          <w:sz w:val="20"/>
          <w:szCs w:val="20"/>
          <w:color w:val="auto"/>
        </w:rPr>
      </w:pPr>
      <w:r>
        <w:rPr>
          <w:rFonts w:ascii="Times New Roman" w:cs="Times New Roman" w:eastAsia="Times New Roman" w:hAnsi="Times New Roman"/>
          <w:sz w:val="22"/>
          <w:szCs w:val="22"/>
          <w:color w:val="404040"/>
        </w:rPr>
        <w:t xml:space="preserve">“RTW is proud to lead these transactions, which we believe will enable Orchestra BioMed to further advance its BackBeat CNT and Virtue SAB programs. A recent double-blind, randomized pilot study published in the </w:t>
      </w:r>
      <w:r>
        <w:rPr>
          <w:rFonts w:ascii="Times New Roman" w:cs="Times New Roman" w:eastAsia="Times New Roman" w:hAnsi="Times New Roman"/>
          <w:sz w:val="22"/>
          <w:szCs w:val="22"/>
          <w:i w:val="1"/>
          <w:iCs w:val="1"/>
          <w:color w:val="404040"/>
        </w:rPr>
        <w:t>Journal of the American Heart</w:t>
      </w:r>
      <w:r>
        <w:rPr>
          <w:rFonts w:ascii="Times New Roman" w:cs="Times New Roman" w:eastAsia="Times New Roman" w:hAnsi="Times New Roman"/>
          <w:sz w:val="22"/>
          <w:szCs w:val="22"/>
          <w:color w:val="404040"/>
        </w:rPr>
        <w:t xml:space="preserve"> </w:t>
      </w:r>
      <w:r>
        <w:rPr>
          <w:rFonts w:ascii="Times New Roman" w:cs="Times New Roman" w:eastAsia="Times New Roman" w:hAnsi="Times New Roman"/>
          <w:sz w:val="22"/>
          <w:szCs w:val="22"/>
          <w:i w:val="1"/>
          <w:iCs w:val="1"/>
          <w:color w:val="404040"/>
        </w:rPr>
        <w:t>Association (JAHA)</w:t>
      </w:r>
      <w:r>
        <w:rPr>
          <w:rFonts w:ascii="Times New Roman" w:cs="Times New Roman" w:eastAsia="Times New Roman" w:hAnsi="Times New Roman"/>
          <w:sz w:val="35"/>
          <w:szCs w:val="35"/>
          <w:i w:val="1"/>
          <w:iCs w:val="1"/>
          <w:color w:val="404040"/>
          <w:vertAlign w:val="superscript"/>
        </w:rPr>
        <w:t>1</w:t>
      </w:r>
      <w:r>
        <w:rPr>
          <w:rFonts w:ascii="Times New Roman" w:cs="Times New Roman" w:eastAsia="Times New Roman" w:hAnsi="Times New Roman"/>
          <w:sz w:val="22"/>
          <w:szCs w:val="22"/>
          <w:i w:val="1"/>
          <w:iCs w:val="1"/>
          <w:color w:val="404040"/>
        </w:rPr>
        <w:t xml:space="preserve"> </w:t>
      </w:r>
      <w:r>
        <w:rPr>
          <w:rFonts w:ascii="Times New Roman" w:cs="Times New Roman" w:eastAsia="Times New Roman" w:hAnsi="Times New Roman"/>
          <w:sz w:val="22"/>
          <w:szCs w:val="22"/>
          <w:color w:val="404040"/>
        </w:rPr>
        <w:t>showed that BackBeat CNT drove statistically significant and clinically meaningful reductions in blood</w:t>
      </w:r>
      <w:r>
        <w:rPr>
          <w:rFonts w:ascii="Times New Roman" w:cs="Times New Roman" w:eastAsia="Times New Roman" w:hAnsi="Times New Roman"/>
          <w:sz w:val="22"/>
          <w:szCs w:val="22"/>
          <w:i w:val="1"/>
          <w:iCs w:val="1"/>
          <w:color w:val="404040"/>
        </w:rPr>
        <w:t xml:space="preserve"> </w:t>
      </w:r>
      <w:r>
        <w:rPr>
          <w:rFonts w:ascii="Times New Roman" w:cs="Times New Roman" w:eastAsia="Times New Roman" w:hAnsi="Times New Roman"/>
          <w:sz w:val="22"/>
          <w:szCs w:val="22"/>
          <w:color w:val="404040"/>
        </w:rPr>
        <w:t>pressure in its target patient population. These data support Orchestra BioMed’s plans to further investigate the potential for this therapy via a global pivotal study in collaboration with Medtronic,” said Roderick Wong, M.D., Managing Partner and Chief Investment Officer of RTW Investments, LP. “With two partnered programs expected to commence pivotal trials in 2023, we believe Orchestra BioMed is poised for success.”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404040"/>
        </w:rPr>
        <w:t>About BackBeat CNT and the Strategic Collaboration with Medtronic</w:t>
      </w:r>
    </w:p>
    <w:p>
      <w:pPr>
        <w:spacing w:after="0" w:line="23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2"/>
          <w:szCs w:val="22"/>
          <w:color w:val="404040"/>
        </w:rPr>
        <w:t>BackBeat CNT is an investigational bioelectronic treatment designed to lower blood pressure. It is compatible with standard pacemakers and has been evaluated in pilot studies in patients with hypertension who also are indicated for pacemakers. It is estimated that more than 70% of the approximately 1.1 million people globally who are implanted with cardiac pacemakers each year are also diagnosed with hypertension</w:t>
      </w:r>
      <w:r>
        <w:rPr>
          <w:rFonts w:ascii="Times New Roman" w:cs="Times New Roman" w:eastAsia="Times New Roman" w:hAnsi="Times New Roman"/>
          <w:sz w:val="35"/>
          <w:szCs w:val="35"/>
          <w:color w:val="404040"/>
          <w:vertAlign w:val="superscript"/>
        </w:rPr>
        <w:t>2</w:t>
      </w:r>
      <w:r>
        <w:rPr>
          <w:rFonts w:ascii="Times New Roman" w:cs="Times New Roman" w:eastAsia="Times New Roman" w:hAnsi="Times New Roman"/>
          <w:sz w:val="22"/>
          <w:szCs w:val="22"/>
          <w:color w:val="404040"/>
        </w:rPr>
        <w:t>.</w:t>
      </w:r>
    </w:p>
    <w:p>
      <w:pPr>
        <w:spacing w:after="0" w:line="5"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color w:val="404040"/>
        </w:rPr>
        <w:t>The recent peer-reviewed, double-blind, randomized pilot study, MODERATO II, showed that patients treated with the BackBeat CNT experienced net reductions of 8.1 mmHg in 24-hour ambulatory systolic blood pressure (aSBP) and 12.3 mmHg in office systolic blood pressure (oSBP) when compared to control patients at six months. Orchestra BioMed plans to conduct a global pivotal trial to further evaluate the safety and efficacy of the BackBeat CNT in lowering blood pressure in a similar target population of patients who have been indicated for, and recently received, a cardiac pacemaker implant. The strategic collaboration with Medtronic will provide Orchestra BioMed with development, clinical, and regulatory support for this planned multi-national study. Upon regulatory approval, Medtronic will have the global rights to commercialize BackBeat CNT-enabled pacing systems for this target population. Orchestra BioMed will share in the revenues generated from Medtronic sales of the BackBeat CNT-enabled pacing systems.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404040"/>
        </w:rPr>
        <w:t>About Virtue SAB and the Strategic Collaboration with Terumo</w:t>
      </w:r>
    </w:p>
    <w:p>
      <w:pPr>
        <w:spacing w:after="0" w:line="23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404040"/>
        </w:rPr>
        <w:t>Virtue SAB is a patented drug/device combination product candidate in development for the treatment of certain forms of artery disease that is designed to deliver a proprietary, investigational, extended-release formulation of sirolimus, SirolimusEFR™, to the vessel wall during balloon angioplasty without any coating on the balloon surface or the need to leave a stent or other permanent implant in the artery. Virtue SAB demonstrated positive three-year clinical data in coronary in-stent restenosis (ISR) in the SABRE trial, a multi-center prospective, independent core lab-adjudicated clinical trial of 50 patients conducted in Europe. Virtue SAB has been granted Breakthrough Device designation by the U.S. Food and Drug Administration (“FDA”) for specific indications relating to coronary ISR, coronary small vessel disease and peripheral artery disease below-the-knee.</w:t>
      </w:r>
    </w:p>
    <w:p>
      <w:pPr>
        <w:spacing w:after="0" w:line="197"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404040"/>
        </w:rPr>
        <w:t>Under the terms of their collaboration agreement, Orchestra BioMed and Terumo plan to execute a global clinical program in an effort to gain regulatory approval for commercial sale of Virtue SAB in multiple markets and indications. Terumo made an upfront payment of $30 million to Orchestra BioMed and Terumo will potentially make additional future clinical and regulatory milestone payments. Orchestra BioMed will share meaningfully in future commercial revenues of Virtue SAB through royalties and per unit payments as the exclusive supplier of SirolimusEFR. Orchestra BioMed retains the rights to develop and license SirolimusEFR and other technologies used in Virtue SAB for clinical applications outside of coronary and peripheral vascular interventions.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16459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80" w:firstLine="8"/>
        <w:spacing w:after="0" w:line="184" w:lineRule="auto"/>
        <w:tabs>
          <w:tab w:leader="none" w:pos="144" w:val="left"/>
        </w:tabs>
        <w:numPr>
          <w:ilvl w:val="0"/>
          <w:numId w:val="37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 xml:space="preserve">Z. Kalarus, et.al. </w:t>
      </w:r>
      <w:r>
        <w:rPr>
          <w:rFonts w:ascii="Times New Roman" w:cs="Times New Roman" w:eastAsia="Times New Roman" w:hAnsi="Times New Roman"/>
          <w:sz w:val="22"/>
          <w:szCs w:val="22"/>
          <w:i w:val="1"/>
          <w:iCs w:val="1"/>
          <w:color w:val="auto"/>
        </w:rPr>
        <w:t>Pacemaker-Based Cardiac Neuromodulation Therapy in Patients with Hypertension: A Pilot Study.</w:t>
      </w:r>
      <w:r>
        <w:rPr>
          <w:rFonts w:ascii="Times New Roman" w:cs="Times New Roman" w:eastAsia="Times New Roman" w:hAnsi="Times New Roman"/>
          <w:sz w:val="22"/>
          <w:szCs w:val="22"/>
          <w:color w:val="auto"/>
        </w:rPr>
        <w:t xml:space="preserve"> J Am Heart Assoc. 2021;10: e020492. DOI: 10.1161/JAHA.120.020492</w:t>
      </w:r>
    </w:p>
    <w:p>
      <w:pPr>
        <w:spacing w:after="0" w:line="2" w:lineRule="exact"/>
        <w:rPr>
          <w:rFonts w:ascii="Times New Roman" w:cs="Times New Roman" w:eastAsia="Times New Roman" w:hAnsi="Times New Roman"/>
          <w:sz w:val="36"/>
          <w:szCs w:val="36"/>
          <w:color w:val="auto"/>
          <w:vertAlign w:val="superscript"/>
        </w:rPr>
      </w:pPr>
    </w:p>
    <w:p>
      <w:pPr>
        <w:ind w:right="220"/>
        <w:spacing w:after="0" w:line="183"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000000"/>
          <w:vertAlign w:val="superscript"/>
        </w:rPr>
        <w:t>2</w:t>
      </w:r>
      <w:r>
        <w:rPr>
          <w:rFonts w:ascii="Times New Roman" w:cs="Times New Roman" w:eastAsia="Times New Roman" w:hAnsi="Times New Roman"/>
          <w:sz w:val="22"/>
          <w:szCs w:val="22"/>
          <w:color w:val="404040"/>
        </w:rPr>
        <w:t xml:space="preserve"> Company estimates based on published sources, including National Inpatient Survey (NIS) and National Health and Nutrition Examination Survey (NHANES)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22"/>
          <w:szCs w:val="22"/>
          <w:b w:val="1"/>
          <w:bCs w:val="1"/>
          <w:color w:val="404040"/>
        </w:rPr>
        <w:t>About the Series D Financing</w:t>
      </w:r>
    </w:p>
    <w:p>
      <w:pPr>
        <w:spacing w:after="0" w:line="23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404040"/>
        </w:rPr>
        <w:t>Gross proceeds from Orchestra BioMed’s completed Series D financing totaled $110 million, including a $40 million investment from Medtronic, a $20 million investment from RTW, and investments from other existing shareholders of Orchestra BioMed including Perceptive Advisors, Terumo Corporation, SternAegis Ventures and others. The Series D financing was not contingent on the consummation of the Business Combination.</w:t>
      </w:r>
    </w:p>
    <w:p>
      <w:pPr>
        <w:spacing w:after="0" w:line="20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404040"/>
        </w:rPr>
        <w:t>Orchestra BioMed, subject to certain conditions, has further access to up to $40 million in term debt from the Avenue Venture Opportunities Fund, an affiliate of the Avenue Capital Group.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404040"/>
        </w:rPr>
        <w:t>About the Business Combination</w:t>
      </w:r>
    </w:p>
    <w:p>
      <w:pPr>
        <w:spacing w:after="0" w:line="237"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404040"/>
        </w:rPr>
        <w:t>The Business Combination is expected to close in the fourth quarter of 2022. With the Series D financing proceeds already received by Orchestra BioMed, upon closing of the Business Combination, Orchestra BioMed Holdings expects to have sufficient cash to fund business operations into 2026 based on current plans and estimates. Funding will be used to support Orchestra BioMed Holdings’ business operations including planned pivotal trials for BackBeat CNT and Virtue SAB, which are scheduled to initiate in 2023. The Company also plans to identify additional promising therapeutic device innovations for potential strategic addition(s) to the Company’s product development pipeline that can be optimized using its partnership-based business model.</w:t>
      </w:r>
    </w:p>
    <w:p>
      <w:pPr>
        <w:spacing w:after="0" w:line="21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404040"/>
        </w:rPr>
        <w:t>To ensure there is a minimum of $70 million in the HSAC2 trust account at the time of closing to fund the Company, Medtronic and RTW are each committing $10 million to the trust account through support agreements, and RTW is providing up to $50 million to backstop potential redemptions. Assuming no redemptions are made, an additional $90 million may be available from HSAC2’s trust account, providing maximum gross proceeds from the Business Combination and Series D transactions of $270 million to help fund the business.</w:t>
      </w:r>
    </w:p>
    <w:p>
      <w:pPr>
        <w:spacing w:after="0" w:line="204" w:lineRule="exact"/>
        <w:rPr>
          <w:sz w:val="20"/>
          <w:szCs w:val="20"/>
          <w:color w:val="auto"/>
        </w:rPr>
      </w:pPr>
    </w:p>
    <w:p>
      <w:pPr>
        <w:jc w:val="both"/>
        <w:ind w:right="220"/>
        <w:spacing w:after="0" w:line="244" w:lineRule="auto"/>
        <w:rPr>
          <w:sz w:val="20"/>
          <w:szCs w:val="20"/>
          <w:color w:val="auto"/>
        </w:rPr>
      </w:pPr>
      <w:r>
        <w:rPr>
          <w:rFonts w:ascii="Times New Roman" w:cs="Times New Roman" w:eastAsia="Times New Roman" w:hAnsi="Times New Roman"/>
          <w:sz w:val="22"/>
          <w:szCs w:val="22"/>
          <w:color w:val="404040"/>
        </w:rPr>
        <w:t>The boards of directors of both HSAC2 and Orchestra BioMed have unanimously approved the proposed transaction, which is subject to approval by HSAC2 and Orchestra BioMed’s stockholders and the satisfaction or waiver of certain other customary closing conditions.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404040"/>
        </w:rPr>
        <w:t>Upon closing, HSAC2’s current board of directors will resign and be replaced by Orchestra BioMed’s current board of directors.</w:t>
      </w:r>
    </w:p>
    <w:p>
      <w:pPr>
        <w:spacing w:after="0" w:line="245" w:lineRule="exact"/>
        <w:rPr>
          <w:sz w:val="20"/>
          <w:szCs w:val="20"/>
          <w:color w:val="auto"/>
        </w:rPr>
      </w:pPr>
    </w:p>
    <w:p>
      <w:pPr>
        <w:ind w:right="160"/>
        <w:spacing w:after="0" w:line="257" w:lineRule="exact"/>
        <w:rPr>
          <w:sz w:val="20"/>
          <w:szCs w:val="20"/>
          <w:color w:val="auto"/>
        </w:rPr>
      </w:pPr>
      <w:r>
        <w:rPr>
          <w:rFonts w:ascii="Times New Roman" w:cs="Times New Roman" w:eastAsia="Times New Roman" w:hAnsi="Times New Roman"/>
          <w:sz w:val="22"/>
          <w:szCs w:val="22"/>
          <w:color w:val="404040"/>
        </w:rPr>
        <w:t>The description of the Business Combination contained herein is only a summary and is qualified in its entirety by reference to the definitive agreement relating to the Business Combination, a copy of which will be filed by HSAC2 with the Securities and Exchange Commission (“SEC”) as an exhibit to a Current Report on Form 8</w:t>
      </w:r>
      <w:r>
        <w:rPr>
          <w:rFonts w:ascii="MS PGothic" w:cs="MS PGothic" w:eastAsia="MS PGothic" w:hAnsi="MS PGothic"/>
          <w:sz w:val="22"/>
          <w:szCs w:val="22"/>
          <w:color w:val="404040"/>
        </w:rPr>
        <w:t>‑</w:t>
      </w:r>
      <w:r>
        <w:rPr>
          <w:rFonts w:ascii="Times New Roman" w:cs="Times New Roman" w:eastAsia="Times New Roman" w:hAnsi="Times New Roman"/>
          <w:sz w:val="22"/>
          <w:szCs w:val="22"/>
          <w:color w:val="404040"/>
        </w:rPr>
        <w:t xml:space="preserve">K, which can be accessed through the SEC’s website at </w:t>
      </w:r>
      <w:r>
        <w:rPr>
          <w:rFonts w:ascii="Times New Roman" w:cs="Times New Roman" w:eastAsia="Times New Roman" w:hAnsi="Times New Roman"/>
          <w:sz w:val="22"/>
          <w:szCs w:val="22"/>
          <w:color w:val="000000"/>
        </w:rPr>
        <w:t>www.sec.gov.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404040"/>
        </w:rPr>
        <w:t>Advisors</w:t>
      </w:r>
    </w:p>
    <w:p>
      <w:pPr>
        <w:spacing w:after="0" w:line="23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404040"/>
        </w:rPr>
        <w:t>Jefferies LLC and Piper Sandler &amp; Co. acted as Joint Lead Placement Agents for the Series D Financing and Aegis Capital acted as Selling Agent. Jefferies LLC is acting as lead financial advisor and a capital markets advisor to Orchestra BioMed in relation to the proposed Business Combination. Piper Sandler &amp; Co. acted as strategic advisor to Orchestra BioMed with respect to the strategic collaboration with Medtronic and is acting as a capital markets advisor to Orchestra BioMed in relation to the proposed Business Combination.</w:t>
      </w:r>
    </w:p>
    <w:p>
      <w:pPr>
        <w:spacing w:after="0" w:line="204"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404040"/>
        </w:rPr>
        <w:t>Chardan Capital Markets LLC and Barclays Capital Inc. are serving as financial and capital markets advisors to HSAC2 in relation to the proposed Business Combination.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404040"/>
        </w:rPr>
        <w:t>Paul Hastings LLP is serving as legal counsel for Orchestra BioMed. Loeb &amp; Loeb LLP is serving as legal counsel for HSAC2.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404040"/>
        </w:rPr>
        <w:t>About Orchestra BioMed</w:t>
      </w:r>
    </w:p>
    <w:p>
      <w:pPr>
        <w:spacing w:after="0" w:line="237" w:lineRule="exact"/>
        <w:rPr>
          <w:sz w:val="20"/>
          <w:szCs w:val="20"/>
          <w:color w:val="auto"/>
        </w:rPr>
      </w:pPr>
    </w:p>
    <w:p>
      <w:pPr>
        <w:jc w:val="both"/>
        <w:ind w:right="180"/>
        <w:spacing w:after="0" w:line="249" w:lineRule="auto"/>
        <w:rPr>
          <w:sz w:val="20"/>
          <w:szCs w:val="20"/>
          <w:color w:val="auto"/>
        </w:rPr>
      </w:pPr>
      <w:r>
        <w:rPr>
          <w:rFonts w:ascii="Times New Roman" w:cs="Times New Roman" w:eastAsia="Times New Roman" w:hAnsi="Times New Roman"/>
          <w:sz w:val="21"/>
          <w:szCs w:val="21"/>
          <w:color w:val="404040"/>
        </w:rPr>
        <w:t>Orchestra BioMed is a biomedical company with a business model designed to accelerate high-impact technologies to patients through risk-reward sharing partnerships. Orchestra BioMed’s partnership-enabled business model focuses on forging strategic collaborations with leading medical device companies to drive successful global commercialization of products it develops.</w:t>
      </w:r>
    </w:p>
    <w:p>
      <w:pPr>
        <w:spacing w:after="0" w:line="1"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404040"/>
        </w:rPr>
        <w:t>Orchestra BioMed’s flagship product candidates include BackBeat Cardiac Neuromodulation Therapy™ for the treatment of hypertension, the leading risk factor for death worldwide, and Virtue® Sirolimus AngioInfusion™ Balloon (SAB) for the treatment of certain forms of artery disease, the leading cause of mortality worldwide. Orchestra BioMed has a strategic collaboration with Medtronic, one of the largest medical device companies in the world, for development and commercialization of BackBeat CNT for the treatment of hypertension in pacemaker-indicated patients, and a strategic partnership with Terumo Corporation, a global leader in medical technology, for development and commercialization of Virtue SAB for the treatment of artery disease. Orchestra BioMed has additional product candidates and plans to potentially expand its product pipeline through acquisitions, strategic collaborations, licensing, and organic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8" w:right="419" w:bottom="803"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22"/>
          <w:szCs w:val="22"/>
          <w:b w:val="1"/>
          <w:bCs w:val="1"/>
          <w:color w:val="404040"/>
        </w:rPr>
        <w:t>About HSAC2</w:t>
      </w:r>
    </w:p>
    <w:p>
      <w:pPr>
        <w:spacing w:after="0" w:line="238"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404040"/>
        </w:rPr>
        <w:t>Health Sciences Acquisitions Corporation 2 is a blank check company formed for the purpose of effecting a merger, share exchange, asset acquisition, share purchase, reorganization or similar business combination with one or more businesses. The sponsor of HSAC2 is HSAC 2 Holdings, LLC, an affiliate of RTW Investments, LP.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404040"/>
        </w:rPr>
        <w:t>About RTW Investments, LP</w:t>
      </w:r>
    </w:p>
    <w:p>
      <w:pPr>
        <w:spacing w:after="0" w:line="237"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404040"/>
        </w:rPr>
        <w:t xml:space="preserve">RTW Investments, LP is a New York-based, global, full life-cycle investment firm that focuses on identifying transformational and disruptive innovations across the biopharmaceutical and medical technologies sectors. As a leading partner of industry and academia, RTW combines deep scientific expertise with a solution-oriented investment approach to advance emerging medical therapies by building and supporting the companies and/or academics developing them. For further information about RTW, please visit </w:t>
      </w:r>
      <w:r>
        <w:rPr>
          <w:rFonts w:ascii="Times New Roman" w:cs="Times New Roman" w:eastAsia="Times New Roman" w:hAnsi="Times New Roman"/>
          <w:sz w:val="22"/>
          <w:szCs w:val="22"/>
          <w:color w:val="000000"/>
        </w:rPr>
        <w:t>www.RTWfunds.com</w:t>
      </w:r>
      <w:r>
        <w:rPr>
          <w:rFonts w:ascii="Times New Roman" w:cs="Times New Roman" w:eastAsia="Times New Roman" w:hAnsi="Times New Roman"/>
          <w:sz w:val="22"/>
          <w:szCs w:val="22"/>
          <w:color w:val="404040"/>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404040"/>
        </w:rPr>
        <w:t>Important Information and Where to Find It</w:t>
      </w:r>
    </w:p>
    <w:p>
      <w:pPr>
        <w:spacing w:after="0" w:line="237"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404040"/>
        </w:rPr>
        <w:t xml:space="preserve">In connection with the transaction described herein, HSAC2 intends to file a registration statement on Form S-4 with the SEC, which will include a proxy statement/prospectus. Promptly after the registration statement is declared effective by the SEC, HSAC2 will mail the definitive proxy statement/prospectus and a proxy card to each shareholder of HSAC2 as of a record date for the meeting of HSAC2 shareholders to be established for voting on the proposed Business Combination. </w:t>
      </w:r>
      <w:r>
        <w:rPr>
          <w:rFonts w:ascii="Times New Roman" w:cs="Times New Roman" w:eastAsia="Times New Roman" w:hAnsi="Times New Roman"/>
          <w:sz w:val="22"/>
          <w:szCs w:val="22"/>
          <w:b w:val="1"/>
          <w:bCs w:val="1"/>
          <w:color w:val="404040"/>
        </w:rPr>
        <w:t>Before making any</w:t>
      </w:r>
      <w:r>
        <w:rPr>
          <w:rFonts w:ascii="Times New Roman" w:cs="Times New Roman" w:eastAsia="Times New Roman" w:hAnsi="Times New Roman"/>
          <w:sz w:val="22"/>
          <w:szCs w:val="22"/>
          <w:color w:val="404040"/>
        </w:rPr>
        <w:t xml:space="preserve"> </w:t>
      </w:r>
      <w:r>
        <w:rPr>
          <w:rFonts w:ascii="Times New Roman" w:cs="Times New Roman" w:eastAsia="Times New Roman" w:hAnsi="Times New Roman"/>
          <w:sz w:val="22"/>
          <w:szCs w:val="22"/>
          <w:b w:val="1"/>
          <w:bCs w:val="1"/>
          <w:color w:val="404040"/>
        </w:rPr>
        <w:t xml:space="preserve">voting decision, investors and security holders of HSAC2 are urged to read these materials (including any amendments or supplements thereto) and any other relevant documents in connection with the transaction that HSAC2 has filed or will file with the SEC when they become available because they will contain important information about HSAC2, the Company, and the transaction. </w:t>
      </w:r>
      <w:r>
        <w:rPr>
          <w:rFonts w:ascii="Times New Roman" w:cs="Times New Roman" w:eastAsia="Times New Roman" w:hAnsi="Times New Roman"/>
          <w:sz w:val="22"/>
          <w:szCs w:val="22"/>
          <w:color w:val="404040"/>
        </w:rPr>
        <w:t>The preliminary proxy statement/prospectus, the definitive proxy statement/prospectus and</w:t>
      </w:r>
      <w:r>
        <w:rPr>
          <w:rFonts w:ascii="Times New Roman" w:cs="Times New Roman" w:eastAsia="Times New Roman" w:hAnsi="Times New Roman"/>
          <w:sz w:val="22"/>
          <w:szCs w:val="22"/>
          <w:b w:val="1"/>
          <w:bCs w:val="1"/>
          <w:color w:val="404040"/>
        </w:rPr>
        <w:t xml:space="preserve"> </w:t>
      </w:r>
      <w:r>
        <w:rPr>
          <w:rFonts w:ascii="Times New Roman" w:cs="Times New Roman" w:eastAsia="Times New Roman" w:hAnsi="Times New Roman"/>
          <w:sz w:val="22"/>
          <w:szCs w:val="22"/>
          <w:color w:val="404040"/>
        </w:rPr>
        <w:t>other relevant materials in connection with the transaction (when they become available), and any other documents filed by HSAC2 with the SEC, may be obtained free of charge at the SEC’s website (www.sec.gov). The documents filed by HSAC2 with the SEC also may be obtained free of charge upon written request to Health Sciences Acquisitions Corporation 2, 40 10th Avenue, Floor 7, New York, NY 10014.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404040"/>
        </w:rPr>
        <w:t>Participants in the Solicitation</w:t>
      </w:r>
    </w:p>
    <w:p>
      <w:pPr>
        <w:spacing w:after="0" w:line="23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404040"/>
        </w:rPr>
        <w:t>HSAC2 and Orchestra BioMed and their respective directors and executive officers, under SEC rules, may be deemed participants in the solicitation of proxies of HSAC2’s shareholders in connection with the proposed Business Combination. HSAC2’s shareholders and other interested persons may obtain, without charge, more detailed information regarding the directors and officers of HSAC2 and a description of their interests in HSAC2 in HSAC2’s Annual Report on Form 10-K for the year ended December 31, 2021, which was filed with the SEC on March 31, 2022. Additional information regarding the interests of each of HSAC2’s and Orchestra BioMed’s directors and executive officers in the proposed Business Combination will be available in the definitive proxy statement/prospectus when it becomes available.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404040"/>
        </w:rPr>
        <w:t>No Solicitation</w:t>
      </w:r>
    </w:p>
    <w:p>
      <w:pPr>
        <w:spacing w:after="0" w:line="23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404040"/>
        </w:rPr>
        <w:t>This press release is not a proxy statement or solicitation of a proxy, consent or authorization with respect to any securities or in respect of the potential transaction and shall not constitute an offer to sell or a solicitation of an offer to buy, or a recommendation to purchase any securities of HSAC2 (or of the combined company) or Orchestra BioMed, nor shall there be any sale of any such securities, investments or other specific product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404040"/>
        </w:rPr>
        <w:t>References to Websites in this Press Release</w:t>
      </w:r>
    </w:p>
    <w:p>
      <w:pPr>
        <w:spacing w:after="0" w:line="23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404040"/>
        </w:rPr>
        <w:t>The information contained on, or that may be accessed through, the websites referenced in this press release is not incorporated by reference into, and is not a part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22"/>
          <w:szCs w:val="22"/>
          <w:b w:val="1"/>
          <w:bCs w:val="1"/>
          <w:color w:val="404040"/>
        </w:rPr>
        <w:t>Special Note Regarding Forward-Looking Statements</w:t>
      </w:r>
    </w:p>
    <w:p>
      <w:pPr>
        <w:spacing w:after="0" w:line="23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1"/>
          <w:szCs w:val="21"/>
          <w:color w:val="404040"/>
        </w:rPr>
        <w:t>This press release contains forward-looking statements. Forward-looking statements may be identified by words such as “aims,” “believe,” “may,” “will,” “estimate,” “continue,” “anticipate,” “intend,” “expect,” “would,” “plan,” “future,” “scheduled”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the expected timing of the closing of the Business Combination, other statements regarding the Business Combination’s effects, prospective performance, future plans, events, expectations, performance, objectives, estimates and forecasts of performance metrics, market capitalization and enterprise value, projections of market opportunity, the outlook for Orchestra BioMed’s or the Company’s business, the commercialization plans for Orchestra BioMed’s or the Company’s products, financial needs, anticipated timing or impact of clinical trials or data, approvals relating to the Business Combination, the ability to complete the Business Combination considering the various closing conditions and the accuracy of assumptions underlying the foregoing. These statements are based on various assumptions, whether or not identified in this press release, and on the current expectations of HSAC2’s and Orchestra BioMed’s respective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HSAC2 and Orchestra BioMed.</w:t>
      </w:r>
    </w:p>
    <w:p>
      <w:pPr>
        <w:spacing w:after="0" w:line="203"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404040"/>
        </w:rPr>
        <w:t>These forward-looking statements are subject to a number of risks and uncertainties, including the inability of the parties to successfully or timely consummate the Business Combination, the risk that any required regulatory approvals are not obtained, are delayed or are subject to unanticipated conditions that could adversely affect the combined company or the expected benefits of the Business Combination, if not obtained; the failure to realize the anticipated benefits of the Business Combination; matters discovered by the parties as they complete their respective due diligence investigation of the other parties; the ability of the Company following the Business Combination to maintain the listing of its shares on Nasdaq; costs related to the Business Combination; future financial performance of the Company following the Business Combination; expectations regarding future expenditures of the Company following the Business Combination; the Company’s ability to execute its business plans and strategy; the failure to satisfy the conditions to the consummation of the Business Combination, including the approval of the definitive merger agreement by the shareholders of HSAC2 and Orchestra BioMed; the satisfaction of the minimum cash requirements of the definitive merger agreement following any redemptions by HSAC2’s public shareholders; the risk that HSAC2’s shareholders will not approve the extension of the August 6, 2022 deadline to complete the Business Combination or that the Business Combination may not be completed by the extended deadline; the outcome of any legal proceedings that may be instituted against HSAC2 or the Company related to the Business Combination; the attraction and retention of qualified directors, officers, employees and key personnel of HSAC2 and Orchestra BioMed prior to the Business Combination, and the Company following the Business Combination; the Company’s ability to design, develop, manufacture and market innovative therapies to address cardiovascular disease and other significant medical conditions; the ability of the Company to partner with third parties for the development of its products and product candidates; the ability of the Company to achieve clinical and regulatory milestones pursuant to the Terumo partnership, the Medtronic collaboration and future partnerships; regulatory developments in the United States and foreign countries; the ability of the Company to compete effectively in a highly competitive market; the ability of the Company to ever achieve significant revenues or profitability; the Company’s ability to protect and enhance its corporate reputation, brand and intellectual property; the timing, costs, conduct, and outcome of clinical trials and future preclinical studies and clinical trials, including the timing of the initiation and availability of data from such trials; the timing and likelihood of regulatory filings and approvals for product candidates; whether regulatory authorities determine that additional trials or data are necessary in order to obtain approval; the potential market size and the size of the patient populations for product candidates, if approved for commercial use, and the market opportunities for product candidates; the ability to locate and acquire complementary products or product candidates and integrate those into the Company’s business; the uncertain effects of the COVID-19 pandemic and other global events; and those factors set forth in documents of HSAC2 filed, or to be filed, with SEC. The foregoing list of risks is not exhaustive.</w:t>
      </w:r>
    </w:p>
    <w:p>
      <w:pPr>
        <w:spacing w:after="0" w:line="22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404040"/>
        </w:rPr>
        <w:t>If any of these risks materialize or our assumptions prove incorrect, actual results could differ materially from the results implied by these forward-looking statements. There may be additional risks that HSAC2 or Orchestra BioMed does not presently know or HSAC2 or Orchestra BioMed currently believes are immaterial that could also cause actual results to differ from those contained in the forward-looking statements. In addition, forward-looking statements reflect HSAC2’s or Orchestra BioMed’s current expectations, plans and forecasts of future events and views as of the date of this press release. HSAC2 and Orchestra BioMed anticipate that subsequent events and developments will cause HSAC2’s or Orchestra BioMed’s assessments to change. However, while HSAC2 or Orchestra BioMed may elect to update these forward-looking statements at some point in the future, HSAC2 and Orchestra BioMed specifically disclaim any obligation to do so, except as required by law. These forward-looking statements should not be relied upon as representing HSAC2’s or Orchestra BioMed’s assessments as of any date subsequent to the date of this press release.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22"/>
          <w:szCs w:val="22"/>
          <w:color w:val="404040"/>
        </w:rPr>
        <w:t>Orchestra BioMed Investor Contact: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404040"/>
        </w:rPr>
        <w:t>Bob Yedid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404040"/>
        </w:rPr>
        <w:t>LifeSci Advisors</w:t>
      </w:r>
    </w:p>
    <w:p>
      <w:pPr>
        <w:ind w:right="7899" w:firstLine="8"/>
        <w:spacing w:after="0" w:line="258" w:lineRule="auto"/>
        <w:tabs>
          <w:tab w:leader="none" w:pos="522" w:val="left"/>
        </w:tabs>
        <w:numPr>
          <w:ilvl w:val="0"/>
          <w:numId w:val="374"/>
        </w:numPr>
        <w:rPr>
          <w:rFonts w:ascii="Times New Roman" w:cs="Times New Roman" w:eastAsia="Times New Roman" w:hAnsi="Times New Roman"/>
          <w:sz w:val="21"/>
          <w:szCs w:val="21"/>
          <w:color w:val="404040"/>
        </w:rPr>
      </w:pPr>
      <w:r>
        <w:rPr>
          <w:rFonts w:ascii="Times New Roman" w:cs="Times New Roman" w:eastAsia="Times New Roman" w:hAnsi="Times New Roman"/>
          <w:sz w:val="21"/>
          <w:szCs w:val="21"/>
          <w:color w:val="404040"/>
        </w:rPr>
        <w:t>597-6989 Bob@lifesciadvisors.com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404040"/>
        </w:rPr>
        <w:t>Orchestra BioMed Media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404040"/>
        </w:rPr>
        <w:t>Bill Berry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404040"/>
        </w:rPr>
        <w:t>Berry &amp; Company Public Relations LLC</w:t>
      </w:r>
    </w:p>
    <w:p>
      <w:pPr>
        <w:ind w:right="8319" w:firstLine="8"/>
        <w:spacing w:after="0" w:line="258" w:lineRule="auto"/>
        <w:tabs>
          <w:tab w:leader="none" w:pos="522" w:val="left"/>
        </w:tabs>
        <w:numPr>
          <w:ilvl w:val="0"/>
          <w:numId w:val="375"/>
        </w:numPr>
        <w:rPr>
          <w:rFonts w:ascii="Times New Roman" w:cs="Times New Roman" w:eastAsia="Times New Roman" w:hAnsi="Times New Roman"/>
          <w:sz w:val="21"/>
          <w:szCs w:val="21"/>
          <w:color w:val="404040"/>
        </w:rPr>
      </w:pPr>
      <w:r>
        <w:rPr>
          <w:rFonts w:ascii="Times New Roman" w:cs="Times New Roman" w:eastAsia="Times New Roman" w:hAnsi="Times New Roman"/>
          <w:sz w:val="21"/>
          <w:szCs w:val="21"/>
          <w:color w:val="404040"/>
        </w:rPr>
        <w:t>253-8881 bberry@berrypr.com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404040"/>
        </w:rPr>
        <w:t>RTW Investments and HSAC2 Media Contact: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404040"/>
        </w:rPr>
        <w:t>Josh Baldwin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404040"/>
        </w:rPr>
        <w:t>RTW Investments LP</w:t>
      </w:r>
    </w:p>
    <w:p>
      <w:pPr>
        <w:ind w:right="8399" w:firstLine="8"/>
        <w:spacing w:after="0" w:line="258" w:lineRule="auto"/>
        <w:tabs>
          <w:tab w:leader="none" w:pos="522" w:val="left"/>
        </w:tabs>
        <w:numPr>
          <w:ilvl w:val="0"/>
          <w:numId w:val="376"/>
        </w:numPr>
        <w:rPr>
          <w:rFonts w:ascii="Times New Roman" w:cs="Times New Roman" w:eastAsia="Times New Roman" w:hAnsi="Times New Roman"/>
          <w:sz w:val="21"/>
          <w:szCs w:val="21"/>
          <w:color w:val="404040"/>
        </w:rPr>
      </w:pPr>
      <w:r>
        <w:rPr>
          <w:rFonts w:ascii="Times New Roman" w:cs="Times New Roman" w:eastAsia="Times New Roman" w:hAnsi="Times New Roman"/>
          <w:sz w:val="21"/>
          <w:szCs w:val="21"/>
          <w:color w:val="404040"/>
        </w:rPr>
        <w:t>209-9916 jjgb@rtwfunds.com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973E32"/>
    <w:multiLevelType w:val="hybridMultilevel"/>
    <w:lvl w:ilvl="0">
      <w:lvlJc w:val="left"/>
      <w:lvlText w:val="☒"/>
      <w:numFmt w:val="bullet"/>
      <w:start w:val="1"/>
    </w:lvl>
  </w:abstractNum>
  <w:abstractNum w:abstractNumId="1">
    <w:nsid w:val="EAD6F57"/>
    <w:multiLevelType w:val="hybridMultilevel"/>
    <w:lvl w:ilvl="0">
      <w:lvlJc w:val="left"/>
      <w:lvlText w:val="☐"/>
      <w:numFmt w:val="bullet"/>
      <w:start w:val="1"/>
    </w:lvl>
  </w:abstractNum>
  <w:abstractNum w:abstractNumId="2">
    <w:nsid w:val="6EC9D844"/>
    <w:multiLevelType w:val="hybridMultilevel"/>
    <w:lvl w:ilvl="0">
      <w:lvlJc w:val="left"/>
      <w:lvlText w:val="•"/>
      <w:numFmt w:val="bullet"/>
      <w:start w:val="1"/>
    </w:lvl>
  </w:abstractNum>
  <w:abstractNum w:abstractNumId="3">
    <w:nsid w:val="5C49EAEE"/>
    <w:multiLevelType w:val="hybridMultilevel"/>
    <w:lvl w:ilvl="0">
      <w:lvlJc w:val="left"/>
      <w:lvlText w:val="(%1)"/>
      <w:numFmt w:val="lowerRoman"/>
      <w:start w:val="2"/>
    </w:lvl>
  </w:abstractNum>
  <w:abstractNum w:abstractNumId="4">
    <w:nsid w:val="64AF49B"/>
    <w:multiLevelType w:val="hybridMultilevel"/>
    <w:lvl w:ilvl="0">
      <w:lvlJc w:val="left"/>
      <w:lvlText w:val="(%1)"/>
      <w:numFmt w:val="lowerRoman"/>
      <w:start w:val="8"/>
    </w:lvl>
  </w:abstractNum>
  <w:abstractNum w:abstractNumId="5">
    <w:nsid w:val="397C46BC"/>
    <w:multiLevelType w:val="hybridMultilevel"/>
    <w:lvl w:ilvl="0">
      <w:lvlJc w:val="left"/>
      <w:lvlText w:val="(%1)"/>
      <w:numFmt w:val="lowerRoman"/>
      <w:start w:val="4"/>
    </w:lvl>
  </w:abstractNum>
  <w:abstractNum w:abstractNumId="6">
    <w:nsid w:val="7E448DE9"/>
    <w:multiLevelType w:val="hybridMultilevel"/>
    <w:lvl w:ilvl="0">
      <w:lvlJc w:val="left"/>
      <w:lvlText w:val="%1"/>
      <w:numFmt w:val="decimal"/>
      <w:start w:val="104"/>
    </w:lvl>
    <w:lvl w:ilvl="1">
      <w:lvlJc w:val="left"/>
      <w:lvlText w:val="*"/>
      <w:numFmt w:val="bullet"/>
      <w:start w:val="1"/>
    </w:lvl>
  </w:abstractNum>
  <w:abstractNum w:abstractNumId="7">
    <w:nsid w:val="5A9CC3E5"/>
    <w:multiLevelType w:val="hybridMultilevel"/>
    <w:lvl w:ilvl="0">
      <w:lvlJc w:val="left"/>
      <w:lvlText w:val="%1"/>
      <w:numFmt w:val="decimal"/>
      <w:start w:val="1"/>
    </w:lvl>
    <w:lvl w:ilvl="1">
      <w:lvlJc w:val="left"/>
      <w:lvlText w:val="**"/>
      <w:numFmt w:val="bullet"/>
      <w:start w:val="1"/>
    </w:lvl>
  </w:abstractNum>
  <w:abstractNum w:abstractNumId="8">
    <w:nsid w:val="1AFE3625"/>
    <w:multiLevelType w:val="hybridMultilevel"/>
    <w:lvl w:ilvl="0">
      <w:lvlJc w:val="left"/>
      <w:lvlText w:val="%1."/>
      <w:numFmt w:val="decimal"/>
      <w:start w:val="1"/>
    </w:lvl>
  </w:abstractNum>
  <w:abstractNum w:abstractNumId="9">
    <w:nsid w:val="3CA88ECF"/>
    <w:multiLevelType w:val="hybridMultilevel"/>
    <w:lvl w:ilvl="0">
      <w:lvlJc w:val="left"/>
      <w:lvlText w:val="%1."/>
      <w:numFmt w:val="decimal"/>
      <w:start w:val="6"/>
    </w:lvl>
  </w:abstractNum>
  <w:abstractNum w:abstractNumId="10">
    <w:nsid w:val="6EBE4208"/>
    <w:multiLevelType w:val="hybridMultilevel"/>
    <w:lvl w:ilvl="0">
      <w:lvlJc w:val="left"/>
      <w:lvlText w:val="%1."/>
      <w:numFmt w:val="decimal"/>
      <w:start w:val="11"/>
    </w:lvl>
  </w:abstractNum>
  <w:abstractNum w:abstractNumId="11">
    <w:nsid w:val="C058DF5"/>
    <w:multiLevelType w:val="hybridMultilevel"/>
    <w:lvl w:ilvl="0">
      <w:lvlJc w:val="left"/>
      <w:lvlText w:val="(%1)"/>
      <w:numFmt w:val="lowerLetter"/>
      <w:start w:val="8"/>
    </w:lvl>
  </w:abstractNum>
  <w:abstractNum w:abstractNumId="12">
    <w:nsid w:val="CBE5BE9"/>
    <w:multiLevelType w:val="hybridMultilevel"/>
    <w:lvl w:ilvl="0">
      <w:lvlJc w:val="left"/>
      <w:lvlText w:val="(%1)"/>
      <w:numFmt w:val="lowerLetter"/>
      <w:start w:val="1"/>
    </w:lvl>
  </w:abstractNum>
  <w:abstractNum w:abstractNumId="13">
    <w:nsid w:val="3102BBE2"/>
    <w:multiLevelType w:val="hybridMultilevel"/>
    <w:lvl w:ilvl="0">
      <w:lvlJc w:val="left"/>
      <w:lvlText w:val="(%1)"/>
      <w:numFmt w:val="lowerLetter"/>
      <w:start w:val="2"/>
    </w:lvl>
  </w:abstractNum>
  <w:abstractNum w:abstractNumId="14">
    <w:nsid w:val="26A02C5E"/>
    <w:multiLevelType w:val="hybridMultilevel"/>
    <w:lvl w:ilvl="0">
      <w:lvlJc w:val="left"/>
      <w:lvlText w:val="%1"/>
      <w:numFmt w:val="decimal"/>
      <w:start w:val="1"/>
    </w:lvl>
    <w:lvl w:ilvl="1">
      <w:lvlJc w:val="left"/>
      <w:lvlText w:val="(%2)"/>
      <w:numFmt w:val="lowerLetter"/>
      <w:start w:val="7"/>
    </w:lvl>
  </w:abstractNum>
  <w:abstractNum w:abstractNumId="15">
    <w:nsid w:val="541C8153"/>
    <w:multiLevelType w:val="hybridMultilevel"/>
    <w:lvl w:ilvl="0">
      <w:lvlJc w:val="left"/>
      <w:lvlText w:val="(%1)"/>
      <w:numFmt w:val="decimal"/>
      <w:start w:val="2"/>
    </w:lvl>
    <w:lvl w:ilvl="1">
      <w:lvlJc w:val="left"/>
      <w:lvlText w:val="%2"/>
      <w:numFmt w:val="lowerLetter"/>
      <w:start w:val="1"/>
    </w:lvl>
  </w:abstractNum>
  <w:abstractNum w:abstractNumId="16">
    <w:nsid w:val="67906F60"/>
    <w:multiLevelType w:val="hybridMultilevel"/>
    <w:lvl w:ilvl="0">
      <w:lvlJc w:val="left"/>
      <w:lvlText w:val="(%1)"/>
      <w:numFmt w:val="lowerLetter"/>
      <w:start w:val="1"/>
    </w:lvl>
  </w:abstractNum>
  <w:abstractNum w:abstractNumId="17">
    <w:nsid w:val="10DB9DAA"/>
    <w:multiLevelType w:val="hybridMultilevel"/>
    <w:lvl w:ilvl="0">
      <w:lvlJc w:val="left"/>
      <w:lvlText w:val="(%1)"/>
      <w:numFmt w:val="lowerLetter"/>
      <w:start w:val="1"/>
    </w:lvl>
  </w:abstractNum>
  <w:abstractNum w:abstractNumId="18">
    <w:nsid w:val="697D2D2"/>
    <w:multiLevelType w:val="hybridMultilevel"/>
    <w:lvl w:ilvl="0">
      <w:lvlJc w:val="left"/>
      <w:lvlText w:val="(%1)"/>
      <w:numFmt w:val="lowerLetter"/>
      <w:start w:val="1"/>
    </w:lvl>
  </w:abstractNum>
  <w:abstractNum w:abstractNumId="19">
    <w:nsid w:val="6D68AB2"/>
    <w:multiLevelType w:val="hybridMultilevel"/>
    <w:lvl w:ilvl="0">
      <w:lvlJc w:val="left"/>
      <w:lvlText w:val="(%1)"/>
      <w:numFmt w:val="lowerLetter"/>
      <w:start w:val="1"/>
    </w:lvl>
    <w:lvl w:ilvl="1">
      <w:lvlJc w:val="left"/>
      <w:lvlText w:val="(%2)"/>
      <w:numFmt w:val="lowerRoman"/>
      <w:start w:val="1"/>
    </w:lvl>
  </w:abstractNum>
  <w:abstractNum w:abstractNumId="20">
    <w:nsid w:val="3A966CD0"/>
    <w:multiLevelType w:val="hybridMultilevel"/>
    <w:lvl w:ilvl="0">
      <w:lvlJc w:val="left"/>
      <w:lvlText w:val="(%1)"/>
      <w:numFmt w:val="lowerLetter"/>
      <w:start w:val="2"/>
    </w:lvl>
  </w:abstractNum>
  <w:abstractNum w:abstractNumId="21">
    <w:nsid w:val="63F37E85"/>
    <w:multiLevelType w:val="hybridMultilevel"/>
    <w:lvl w:ilvl="0">
      <w:lvlJc w:val="left"/>
      <w:lvlText w:val="(%1)"/>
      <w:numFmt w:val="lowerLetter"/>
      <w:start w:val="1"/>
    </w:lvl>
  </w:abstractNum>
  <w:abstractNum w:abstractNumId="22">
    <w:nsid w:val="5895F5FA"/>
    <w:multiLevelType w:val="hybridMultilevel"/>
    <w:lvl w:ilvl="0">
      <w:lvlJc w:val="left"/>
      <w:lvlText w:val="(%1)"/>
      <w:numFmt w:val="lowerLetter"/>
      <w:start w:val="3"/>
    </w:lvl>
  </w:abstractNum>
  <w:abstractNum w:abstractNumId="23">
    <w:nsid w:val="38A5D0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
    <w:nsid w:val="F3F09D8"/>
    <w:multiLevelType w:val="hybridMultilevel"/>
    <w:lvl w:ilvl="0">
      <w:lvlJc w:val="left"/>
      <w:lvlText w:val="%1"/>
      <w:numFmt w:val="lowerLetter"/>
      <w:start w:val="1"/>
    </w:lvl>
    <w:lvl w:ilvl="1">
      <w:lvlJc w:val="left"/>
      <w:lvlText w:val="(%2)"/>
      <w:numFmt w:val="upperLetter"/>
      <w:start w:val="2"/>
    </w:lvl>
  </w:abstractNum>
  <w:abstractNum w:abstractNumId="25">
    <w:nsid w:val="4B793735"/>
    <w:multiLevelType w:val="hybridMultilevel"/>
    <w:lvl w:ilvl="0">
      <w:lvlJc w:val="left"/>
      <w:lvlText w:val="(%1)"/>
      <w:numFmt w:val="lowerLetter"/>
      <w:start w:val="2"/>
    </w:lvl>
    <w:lvl w:ilvl="1">
      <w:lvlJc w:val="left"/>
      <w:lvlText w:val="%2"/>
      <w:numFmt w:val="upperLetter"/>
      <w:start w:val="1"/>
    </w:lvl>
  </w:abstractNum>
  <w:abstractNum w:abstractNumId="26">
    <w:nsid w:val="4A10B4E8"/>
    <w:multiLevelType w:val="hybridMultilevel"/>
    <w:lvl w:ilvl="0">
      <w:lvlJc w:val="left"/>
      <w:lvlText w:val="(%1)"/>
      <w:numFmt w:val="lowerLetter"/>
      <w:start w:val="3"/>
    </w:lvl>
  </w:abstractNum>
  <w:abstractNum w:abstractNumId="27">
    <w:nsid w:val="43D3BCD4"/>
    <w:multiLevelType w:val="hybridMultilevel"/>
    <w:lvl w:ilvl="0">
      <w:lvlJc w:val="left"/>
      <w:lvlText w:val="(%1)"/>
      <w:numFmt w:val="lowerLetter"/>
      <w:start w:val="1"/>
    </w:lvl>
    <w:lvl w:ilvl="1">
      <w:lvlJc w:val="left"/>
      <w:lvlText w:val="(%2)"/>
      <w:numFmt w:val="lowerLetter"/>
      <w:start w:val="9"/>
    </w:lvl>
  </w:abstractNum>
  <w:abstractNum w:abstractNumId="28">
    <w:nsid w:val="4C2A716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9">
    <w:nsid w:val="2E534A8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0">
    <w:nsid w:val="26F2D364"/>
    <w:multiLevelType w:val="hybridMultilevel"/>
    <w:lvl w:ilvl="0">
      <w:lvlJc w:val="left"/>
      <w:lvlText w:val="(%1)"/>
      <w:numFmt w:val="lowerLetter"/>
      <w:start w:val="9"/>
    </w:lvl>
    <w:lvl w:ilvl="1">
      <w:lvlJc w:val="left"/>
      <w:lvlText w:val="(%2)"/>
      <w:numFmt w:val="lowerLetter"/>
      <w:start w:val="6"/>
    </w:lvl>
    <w:lvl w:ilvl="2">
      <w:lvlJc w:val="left"/>
      <w:lvlText w:val="%3"/>
      <w:numFmt w:val="lowerLetter"/>
      <w:start w:val="1"/>
    </w:lvl>
  </w:abstractNum>
  <w:abstractNum w:abstractNumId="31">
    <w:nsid w:val="71C1AF98"/>
    <w:multiLevelType w:val="hybridMultilevel"/>
    <w:lvl w:ilvl="0">
      <w:lvlJc w:val="left"/>
      <w:lvlText w:val="(%1)"/>
      <w:numFmt w:val="lowerLetter"/>
      <w:start w:val="7"/>
    </w:lvl>
  </w:abstractNum>
  <w:abstractNum w:abstractNumId="32">
    <w:nsid w:val="3D00B9D9"/>
    <w:multiLevelType w:val="hybridMultilevel"/>
    <w:lvl w:ilvl="0">
      <w:lvlJc w:val="left"/>
      <w:lvlText w:val="(%1)"/>
      <w:numFmt w:val="lowerLetter"/>
      <w:start w:val="1"/>
    </w:lvl>
  </w:abstractNum>
  <w:abstractNum w:abstractNumId="33">
    <w:nsid w:val="15BCABA8"/>
    <w:multiLevelType w:val="hybridMultilevel"/>
    <w:lvl w:ilvl="0">
      <w:lvlJc w:val="left"/>
      <w:lvlText w:val="(%1)"/>
      <w:numFmt w:val="lowerLetter"/>
      <w:start w:val="1"/>
    </w:lvl>
  </w:abstractNum>
  <w:abstractNum w:abstractNumId="34">
    <w:nsid w:val="4E0B9A87"/>
    <w:multiLevelType w:val="hybridMultilevel"/>
    <w:lvl w:ilvl="0">
      <w:lvlJc w:val="left"/>
      <w:lvlText w:val="(%1)"/>
      <w:numFmt w:val="lowerLetter"/>
      <w:start w:val="2"/>
    </w:lvl>
  </w:abstractNum>
  <w:abstractNum w:abstractNumId="35">
    <w:nsid w:val="434BAE75"/>
    <w:multiLevelType w:val="hybridMultilevel"/>
    <w:lvl w:ilvl="0">
      <w:lvlJc w:val="left"/>
      <w:lvlText w:val="(%1)"/>
      <w:numFmt w:val="lowerLetter"/>
      <w:start w:val="1"/>
    </w:lvl>
  </w:abstractNum>
  <w:abstractNum w:abstractNumId="36">
    <w:nsid w:val="4F38F265"/>
    <w:multiLevelType w:val="hybridMultilevel"/>
    <w:lvl w:ilvl="0">
      <w:lvlJc w:val="left"/>
      <w:lvlText w:val="(%1)"/>
      <w:numFmt w:val="lowerLetter"/>
      <w:start w:val="1"/>
    </w:lvl>
  </w:abstractNum>
  <w:abstractNum w:abstractNumId="37">
    <w:nsid w:val="4C502870"/>
    <w:multiLevelType w:val="hybridMultilevel"/>
    <w:lvl w:ilvl="0">
      <w:lvlJc w:val="left"/>
      <w:lvlText w:val="(%1)"/>
      <w:numFmt w:val="lowerLetter"/>
      <w:start w:val="1"/>
    </w:lvl>
    <w:lvl w:ilvl="1">
      <w:lvlJc w:val="left"/>
      <w:lvlText w:val="(%2)"/>
      <w:numFmt w:val="lowerLetter"/>
      <w:start w:val="9"/>
    </w:lvl>
  </w:abstractNum>
  <w:abstractNum w:abstractNumId="38">
    <w:nsid w:val="1DE8725A"/>
    <w:multiLevelType w:val="hybridMultilevel"/>
    <w:lvl w:ilvl="0">
      <w:lvlJc w:val="left"/>
      <w:lvlText w:val="(%1)"/>
      <w:numFmt w:val="lowerRoman"/>
      <w:start w:val="2"/>
    </w:lvl>
  </w:abstractNum>
  <w:abstractNum w:abstractNumId="39">
    <w:nsid w:val="6A37288A"/>
    <w:multiLevelType w:val="hybridMultilevel"/>
    <w:lvl w:ilvl="0">
      <w:lvlJc w:val="left"/>
      <w:lvlText w:val="%1"/>
      <w:numFmt w:val="lowerLetter"/>
      <w:start w:val="1"/>
    </w:lvl>
    <w:lvl w:ilvl="1">
      <w:lvlJc w:val="left"/>
      <w:lvlText w:val="(%2)"/>
      <w:numFmt w:val="lowerRoman"/>
      <w:start w:val="14"/>
    </w:lvl>
  </w:abstractNum>
  <w:abstractNum w:abstractNumId="40">
    <w:nsid w:val="8F8B73F"/>
    <w:multiLevelType w:val="hybridMultilevel"/>
    <w:lvl w:ilvl="0">
      <w:lvlJc w:val="left"/>
      <w:lvlText w:val="(%1)"/>
      <w:numFmt w:val="lowerLetter"/>
      <w:start w:val="2"/>
    </w:lvl>
    <w:lvl w:ilvl="1">
      <w:lvlJc w:val="left"/>
      <w:lvlText w:val="%2"/>
      <w:numFmt w:val="lowerRoman"/>
      <w:start w:val="1"/>
    </w:lvl>
  </w:abstractNum>
  <w:abstractNum w:abstractNumId="41">
    <w:nsid w:val="CA6B462"/>
    <w:multiLevelType w:val="hybridMultilevel"/>
    <w:lvl w:ilvl="0">
      <w:lvlJc w:val="left"/>
      <w:lvlText w:val="(%1)"/>
      <w:numFmt w:val="lowerLetter"/>
      <w:start w:val="1"/>
    </w:lvl>
  </w:abstractNum>
  <w:abstractNum w:abstractNumId="42">
    <w:nsid w:val="763CB680"/>
    <w:multiLevelType w:val="hybridMultilevel"/>
    <w:lvl w:ilvl="0">
      <w:lvlJc w:val="left"/>
      <w:lvlText w:val="(%1)"/>
      <w:numFmt w:val="lowerLetter"/>
      <w:start w:val="4"/>
    </w:lvl>
  </w:abstractNum>
  <w:abstractNum w:abstractNumId="43">
    <w:nsid w:val="15B71329"/>
    <w:multiLevelType w:val="hybridMultilevel"/>
    <w:lvl w:ilvl="0">
      <w:lvlJc w:val="left"/>
      <w:lvlText w:val="(%1)"/>
      <w:numFmt w:val="lowerLetter"/>
      <w:start w:val="8"/>
    </w:lvl>
  </w:abstractNum>
  <w:abstractNum w:abstractNumId="44">
    <w:nsid w:val="3DA97044"/>
    <w:multiLevelType w:val="hybridMultilevel"/>
    <w:lvl w:ilvl="0">
      <w:lvlJc w:val="left"/>
      <w:lvlText w:val="(%1)"/>
      <w:numFmt w:val="lowerLetter"/>
      <w:start w:val="13"/>
    </w:lvl>
  </w:abstractNum>
  <w:abstractNum w:abstractNumId="45">
    <w:nsid w:val="1CDCE2DE"/>
    <w:multiLevelType w:val="hybridMultilevel"/>
    <w:lvl w:ilvl="0">
      <w:lvlJc w:val="left"/>
      <w:lvlText w:val="(%1)"/>
      <w:numFmt w:val="lowerLetter"/>
      <w:start w:val="1"/>
    </w:lvl>
  </w:abstractNum>
  <w:abstractNum w:abstractNumId="46">
    <w:nsid w:val="69D3947C"/>
    <w:multiLevelType w:val="hybridMultilevel"/>
    <w:lvl w:ilvl="0">
      <w:lvlJc w:val="left"/>
      <w:lvlText w:val="(%1)"/>
      <w:numFmt w:val="lowerLetter"/>
      <w:start w:val="7"/>
    </w:lvl>
  </w:abstractNum>
  <w:abstractNum w:abstractNumId="47">
    <w:nsid w:val="2539DFA5"/>
    <w:multiLevelType w:val="hybridMultilevel"/>
    <w:lvl w:ilvl="0">
      <w:lvlJc w:val="left"/>
      <w:lvlText w:val="(%1)"/>
      <w:numFmt w:val="lowerLetter"/>
      <w:start w:val="12"/>
    </w:lvl>
  </w:abstractNum>
  <w:abstractNum w:abstractNumId="48">
    <w:nsid w:val="2DB88089"/>
    <w:multiLevelType w:val="hybridMultilevel"/>
    <w:lvl w:ilvl="0">
      <w:lvlJc w:val="left"/>
      <w:lvlText w:val="(%1)"/>
      <w:numFmt w:val="lowerLetter"/>
      <w:start w:val="1"/>
    </w:lvl>
  </w:abstractNum>
  <w:abstractNum w:abstractNumId="49">
    <w:nsid w:val="706B674E"/>
    <w:multiLevelType w:val="hybridMultilevel"/>
    <w:lvl w:ilvl="0">
      <w:lvlJc w:val="left"/>
      <w:lvlText w:val="(%1)"/>
      <w:numFmt w:val="lowerLetter"/>
      <w:start w:val="6"/>
    </w:lvl>
  </w:abstractNum>
  <w:abstractNum w:abstractNumId="50">
    <w:nsid w:val="2C106A57"/>
    <w:multiLevelType w:val="hybridMultilevel"/>
    <w:lvl w:ilvl="0">
      <w:lvlJc w:val="left"/>
      <w:lvlText w:val="(%1)"/>
      <w:numFmt w:val="lowerLetter"/>
      <w:start w:val="1"/>
    </w:lvl>
  </w:abstractNum>
  <w:abstractNum w:abstractNumId="51">
    <w:nsid w:val="684EED59"/>
    <w:multiLevelType w:val="hybridMultilevel"/>
    <w:lvl w:ilvl="0">
      <w:lvlJc w:val="left"/>
      <w:lvlText w:val="%1"/>
      <w:numFmt w:val="lowerRoman"/>
      <w:start w:val="1"/>
    </w:lvl>
    <w:lvl w:ilvl="1">
      <w:lvlJc w:val="left"/>
      <w:lvlText w:val="(%2)"/>
      <w:numFmt w:val="lowerLetter"/>
      <w:start w:val="1"/>
    </w:lvl>
  </w:abstractNum>
  <w:abstractNum w:abstractNumId="52">
    <w:nsid w:val="545EE5D3"/>
    <w:multiLevelType w:val="hybridMultilevel"/>
    <w:lvl w:ilvl="0">
      <w:lvlJc w:val="left"/>
      <w:lvlText w:val="(%1)"/>
      <w:numFmt w:val="lowerRoman"/>
      <w:start w:val="15"/>
    </w:lvl>
    <w:lvl w:ilvl="1">
      <w:lvlJc w:val="left"/>
      <w:lvlText w:val="(%2)"/>
      <w:numFmt w:val="lowerLetter"/>
      <w:start w:val="2"/>
    </w:lvl>
  </w:abstractNum>
  <w:abstractNum w:abstractNumId="53">
    <w:nsid w:val="4A66051"/>
    <w:multiLevelType w:val="hybridMultilevel"/>
    <w:lvl w:ilvl="0">
      <w:lvlJc w:val="left"/>
      <w:lvlText w:val="(%1)"/>
      <w:numFmt w:val="lowerLetter"/>
      <w:start w:val="3"/>
    </w:lvl>
  </w:abstractNum>
  <w:abstractNum w:abstractNumId="54">
    <w:nsid w:val="20F4BDAD"/>
    <w:multiLevelType w:val="hybridMultilevel"/>
    <w:lvl w:ilvl="0">
      <w:lvlJc w:val="left"/>
      <w:lvlText w:val="(%1)"/>
      <w:numFmt w:val="lowerLetter"/>
      <w:start w:val="1"/>
    </w:lvl>
  </w:abstractNum>
  <w:abstractNum w:abstractNumId="55">
    <w:nsid w:val="639DEFAC"/>
    <w:multiLevelType w:val="hybridMultilevel"/>
    <w:lvl w:ilvl="0">
      <w:lvlJc w:val="left"/>
      <w:lvlText w:val="(%1)"/>
      <w:numFmt w:val="lowerRoman"/>
      <w:start w:val="1"/>
    </w:lvl>
  </w:abstractNum>
  <w:abstractNum w:abstractNumId="56">
    <w:nsid w:val="501F9786"/>
    <w:multiLevelType w:val="hybridMultilevel"/>
    <w:lvl w:ilvl="0">
      <w:lvlJc w:val="left"/>
      <w:lvlText w:val="(%1)"/>
      <w:numFmt w:val="lowerLetter"/>
      <w:start w:val="1"/>
    </w:lvl>
  </w:abstractNum>
  <w:abstractNum w:abstractNumId="57">
    <w:nsid w:val="6B057295"/>
    <w:multiLevelType w:val="hybridMultilevel"/>
    <w:lvl w:ilvl="0">
      <w:lvlJc w:val="left"/>
      <w:lvlText w:val="(%1)"/>
      <w:numFmt w:val="lowerLetter"/>
      <w:start w:val="2"/>
    </w:lvl>
  </w:abstractNum>
  <w:abstractNum w:abstractNumId="58">
    <w:nsid w:val="2771AC80"/>
    <w:multiLevelType w:val="hybridMultilevel"/>
    <w:lvl w:ilvl="0">
      <w:lvlJc w:val="left"/>
      <w:lvlText w:val="(%1)"/>
      <w:numFmt w:val="lowerLetter"/>
      <w:start w:val="3"/>
    </w:lvl>
  </w:abstractNum>
  <w:abstractNum w:abstractNumId="59">
    <w:nsid w:val="1C4A08EC"/>
    <w:multiLevelType w:val="hybridMultilevel"/>
    <w:lvl w:ilvl="0">
      <w:lvlJc w:val="left"/>
      <w:lvlText w:val="(%1)"/>
      <w:numFmt w:val="lowerLetter"/>
      <w:start w:val="7"/>
    </w:lvl>
  </w:abstractNum>
  <w:abstractNum w:abstractNumId="60">
    <w:nsid w:val="1958BD17"/>
    <w:multiLevelType w:val="hybridMultilevel"/>
    <w:lvl w:ilvl="0">
      <w:lvlJc w:val="left"/>
      <w:lvlText w:val="(%1)"/>
      <w:numFmt w:val="lowerLetter"/>
      <w:start w:val="1"/>
    </w:lvl>
  </w:abstractNum>
  <w:abstractNum w:abstractNumId="61">
    <w:nsid w:val="4E647FE4"/>
    <w:multiLevelType w:val="hybridMultilevel"/>
    <w:lvl w:ilvl="0">
      <w:lvlJc w:val="left"/>
      <w:lvlText w:val="(%1)"/>
      <w:numFmt w:val="lowerLetter"/>
      <w:start w:val="1"/>
    </w:lvl>
  </w:abstractNum>
  <w:abstractNum w:abstractNumId="62">
    <w:nsid w:val="E0BB885"/>
    <w:multiLevelType w:val="hybridMultilevel"/>
    <w:lvl w:ilvl="0">
      <w:lvlJc w:val="left"/>
      <w:lvlText w:val="%1"/>
      <w:numFmt w:val="lowerLetter"/>
      <w:start w:val="1"/>
    </w:lvl>
    <w:lvl w:ilvl="1">
      <w:lvlJc w:val="left"/>
      <w:lvlText w:val="(%2)"/>
      <w:numFmt w:val="lowerLetter"/>
      <w:start w:val="1"/>
    </w:lvl>
  </w:abstractNum>
  <w:abstractNum w:abstractNumId="63">
    <w:nsid w:val="565976F1"/>
    <w:multiLevelType w:val="hybridMultilevel"/>
    <w:lvl w:ilvl="0">
      <w:lvlJc w:val="left"/>
      <w:lvlText w:val="(%1)"/>
      <w:numFmt w:val="lowerLetter"/>
      <w:start w:val="9"/>
    </w:lvl>
    <w:lvl w:ilvl="1">
      <w:lvlJc w:val="left"/>
      <w:lvlText w:val="%2"/>
      <w:numFmt w:val="lowerLetter"/>
      <w:start w:val="1"/>
    </w:lvl>
  </w:abstractNum>
  <w:abstractNum w:abstractNumId="64">
    <w:nsid w:val="64212B8C"/>
    <w:multiLevelType w:val="hybridMultilevel"/>
    <w:lvl w:ilvl="0">
      <w:lvlJc w:val="left"/>
      <w:lvlText w:val="(%1)"/>
      <w:numFmt w:val="lowerLetter"/>
      <w:start w:val="2"/>
    </w:lvl>
  </w:abstractNum>
  <w:abstractNum w:abstractNumId="65">
    <w:nsid w:val="5C17530C"/>
    <w:multiLevelType w:val="hybridMultilevel"/>
    <w:lvl w:ilvl="0">
      <w:lvlJc w:val="left"/>
      <w:lvlText w:val="(%1)"/>
      <w:numFmt w:val="lowerLetter"/>
      <w:start w:val="1"/>
    </w:lvl>
  </w:abstractNum>
  <w:abstractNum w:abstractNumId="66">
    <w:nsid w:val="19A52566"/>
    <w:multiLevelType w:val="hybridMultilevel"/>
    <w:lvl w:ilvl="0">
      <w:lvlJc w:val="left"/>
      <w:lvlText w:val="(%1)"/>
      <w:numFmt w:val="lowerLetter"/>
      <w:start w:val="5"/>
    </w:lvl>
  </w:abstractNum>
  <w:abstractNum w:abstractNumId="67">
    <w:nsid w:val="335A1DF1"/>
    <w:multiLevelType w:val="hybridMultilevel"/>
    <w:lvl w:ilvl="0">
      <w:lvlJc w:val="left"/>
      <w:lvlText w:val="(%1)"/>
      <w:numFmt w:val="lowerLetter"/>
      <w:start w:val="1"/>
    </w:lvl>
  </w:abstractNum>
  <w:abstractNum w:abstractNumId="68">
    <w:nsid w:val="28677B7C"/>
    <w:multiLevelType w:val="hybridMultilevel"/>
    <w:lvl w:ilvl="0">
      <w:lvlJc w:val="left"/>
      <w:lvlText w:val="%1"/>
      <w:numFmt w:val="lowerLetter"/>
      <w:start w:val="1"/>
    </w:lvl>
    <w:lvl w:ilvl="1">
      <w:lvlJc w:val="left"/>
      <w:lvlText w:val="(%2)"/>
      <w:numFmt w:val="lowerLetter"/>
      <w:start w:val="2"/>
    </w:lvl>
  </w:abstractNum>
  <w:abstractNum w:abstractNumId="69">
    <w:nsid w:val="378D97C0"/>
    <w:multiLevelType w:val="hybridMultilevel"/>
    <w:lvl w:ilvl="0">
      <w:lvlJc w:val="left"/>
      <w:lvlText w:val="(%1)"/>
      <w:numFmt w:val="lowerLetter"/>
      <w:start w:val="35"/>
    </w:lvl>
    <w:lvl w:ilvl="1">
      <w:lvlJc w:val="left"/>
      <w:lvlText w:val="(%2)"/>
      <w:numFmt w:val="lowerLetter"/>
      <w:start w:val="3"/>
    </w:lvl>
  </w:abstractNum>
  <w:abstractNum w:abstractNumId="70">
    <w:nsid w:val="1D91467C"/>
    <w:multiLevelType w:val="hybridMultilevel"/>
    <w:lvl w:ilvl="0">
      <w:lvlJc w:val="left"/>
      <w:lvlText w:val="(%1)"/>
      <w:numFmt w:val="lowerLetter"/>
      <w:start w:val="1"/>
    </w:lvl>
  </w:abstractNum>
  <w:abstractNum w:abstractNumId="71">
    <w:nsid w:val="316032BB"/>
    <w:multiLevelType w:val="hybridMultilevel"/>
    <w:lvl w:ilvl="0">
      <w:lvlJc w:val="left"/>
      <w:lvlText w:val="(%1)"/>
      <w:numFmt w:val="lowerLetter"/>
      <w:start w:val="2"/>
    </w:lvl>
  </w:abstractNum>
  <w:abstractNum w:abstractNumId="72">
    <w:nsid w:val="44344C22"/>
    <w:multiLevelType w:val="hybridMultilevel"/>
    <w:lvl w:ilvl="0">
      <w:lvlJc w:val="left"/>
      <w:lvlText w:val="(%1)"/>
      <w:numFmt w:val="lowerLetter"/>
      <w:start w:val="1"/>
    </w:lvl>
    <w:lvl w:ilvl="1">
      <w:lvlJc w:val="left"/>
      <w:lvlText w:val="(%2)"/>
      <w:numFmt w:val="lowerRoman"/>
      <w:start w:val="1"/>
    </w:lvl>
  </w:abstractNum>
  <w:abstractNum w:abstractNumId="73">
    <w:nsid w:val="13CDFCFC"/>
    <w:multiLevelType w:val="hybridMultilevel"/>
    <w:lvl w:ilvl="0">
      <w:lvlJc w:val="left"/>
      <w:lvlText w:val="%1"/>
      <w:numFmt w:val="upperLetter"/>
      <w:start w:val="1"/>
    </w:lvl>
    <w:lvl w:ilvl="1">
      <w:lvlJc w:val="left"/>
      <w:lvlText w:val="(%2)"/>
      <w:numFmt w:val="lowerRoman"/>
      <w:start w:val="5"/>
    </w:lvl>
  </w:abstractNum>
  <w:abstractNum w:abstractNumId="74">
    <w:nsid w:val="471745E4"/>
    <w:multiLevelType w:val="hybridMultilevel"/>
    <w:lvl w:ilvl="0">
      <w:lvlJc w:val="left"/>
      <w:lvlText w:val="(%1)"/>
      <w:numFmt w:val="upperLetter"/>
      <w:start w:val="3"/>
    </w:lvl>
    <w:lvl w:ilvl="1">
      <w:lvlJc w:val="left"/>
      <w:lvlText w:val="(%2)"/>
      <w:numFmt w:val="lowerRoman"/>
      <w:start w:val="9"/>
    </w:lvl>
  </w:abstractNum>
  <w:abstractNum w:abstractNumId="75">
    <w:nsid w:val="1DDBC66"/>
    <w:multiLevelType w:val="hybridMultilevel"/>
    <w:lvl w:ilvl="0">
      <w:lvlJc w:val="left"/>
      <w:lvlText w:val="%1"/>
      <w:numFmt w:val="lowerLetter"/>
      <w:start w:val="1"/>
    </w:lvl>
    <w:lvl w:ilvl="1">
      <w:lvlJc w:val="left"/>
      <w:lvlText w:val="(%2)"/>
      <w:numFmt w:val="lowerRoman"/>
      <w:start w:val="17"/>
    </w:lvl>
  </w:abstractNum>
  <w:abstractNum w:abstractNumId="76">
    <w:nsid w:val="30AADFDA"/>
    <w:multiLevelType w:val="hybridMultilevel"/>
    <w:lvl w:ilvl="0">
      <w:lvlJc w:val="left"/>
      <w:lvlText w:val="(%1)"/>
      <w:numFmt w:val="lowerLetter"/>
      <w:start w:val="3"/>
    </w:lvl>
    <w:lvl w:ilvl="1">
      <w:lvlJc w:val="left"/>
      <w:lvlText w:val="%2"/>
      <w:numFmt w:val="lowerRoman"/>
      <w:start w:val="1"/>
    </w:lvl>
  </w:abstractNum>
  <w:abstractNum w:abstractNumId="77">
    <w:nsid w:val="30EADA61"/>
    <w:multiLevelType w:val="hybridMultilevel"/>
    <w:lvl w:ilvl="0">
      <w:lvlJc w:val="left"/>
      <w:lvlText w:val="(%1)"/>
      <w:numFmt w:val="lowerLetter"/>
      <w:start w:val="1"/>
    </w:lvl>
  </w:abstractNum>
  <w:abstractNum w:abstractNumId="78">
    <w:nsid w:val="27179C0B"/>
    <w:multiLevelType w:val="hybridMultilevel"/>
    <w:lvl w:ilvl="0">
      <w:lvlJc w:val="left"/>
      <w:lvlText w:val="(%1)"/>
      <w:numFmt w:val="lowerLetter"/>
      <w:start w:val="1"/>
    </w:lvl>
  </w:abstractNum>
  <w:abstractNum w:abstractNumId="79">
    <w:nsid w:val="5E636063"/>
    <w:multiLevelType w:val="hybridMultilevel"/>
    <w:lvl w:ilvl="0">
      <w:lvlJc w:val="left"/>
      <w:lvlText w:val="(%1)"/>
      <w:numFmt w:val="lowerLetter"/>
      <w:start w:val="1"/>
    </w:lvl>
  </w:abstractNum>
  <w:abstractNum w:abstractNumId="80">
    <w:nsid w:val="215641AF"/>
    <w:multiLevelType w:val="hybridMultilevel"/>
    <w:lvl w:ilvl="0">
      <w:lvlJc w:val="left"/>
      <w:lvlText w:val="%1"/>
      <w:numFmt w:val="lowerRoman"/>
      <w:start w:val="1"/>
    </w:lvl>
    <w:lvl w:ilvl="1">
      <w:lvlJc w:val="left"/>
      <w:lvlText w:val="(%2)"/>
      <w:numFmt w:val="lowerLetter"/>
      <w:start w:val="3"/>
    </w:lvl>
  </w:abstractNum>
  <w:abstractNum w:abstractNumId="81">
    <w:nsid w:val="53280662"/>
    <w:multiLevelType w:val="hybridMultilevel"/>
    <w:lvl w:ilvl="0">
      <w:lvlJc w:val="left"/>
      <w:lvlText w:val="(%1)"/>
      <w:numFmt w:val="lowerRoman"/>
      <w:start w:val="3"/>
    </w:lvl>
    <w:lvl w:ilvl="1">
      <w:lvlJc w:val="left"/>
      <w:lvlText w:val="%2"/>
      <w:numFmt w:val="lowerLetter"/>
      <w:start w:val="1"/>
    </w:lvl>
  </w:abstractNum>
  <w:abstractNum w:abstractNumId="82">
    <w:nsid w:val="46B24DBC"/>
    <w:multiLevelType w:val="hybridMultilevel"/>
    <w:lvl w:ilvl="0">
      <w:lvlJc w:val="left"/>
      <w:lvlText w:val="(%1)"/>
      <w:numFmt w:val="lowerLetter"/>
      <w:start w:val="6"/>
    </w:lvl>
  </w:abstractNum>
  <w:abstractNum w:abstractNumId="83">
    <w:nsid w:val="75B52783"/>
    <w:multiLevelType w:val="hybridMultilevel"/>
    <w:lvl w:ilvl="0">
      <w:lvlJc w:val="left"/>
      <w:lvlText w:val="(%1)"/>
      <w:numFmt w:val="lowerRoman"/>
      <w:start w:val="1"/>
    </w:lvl>
  </w:abstractNum>
  <w:abstractNum w:abstractNumId="84">
    <w:nsid w:val="57CE66B4"/>
    <w:multiLevelType w:val="hybridMultilevel"/>
    <w:lvl w:ilvl="0">
      <w:lvlJc w:val="left"/>
      <w:lvlText w:val="(%1)"/>
      <w:numFmt w:val="lowerLetter"/>
      <w:start w:val="1"/>
    </w:lvl>
  </w:abstractNum>
  <w:abstractNum w:abstractNumId="85">
    <w:nsid w:val="67A70B69"/>
    <w:multiLevelType w:val="hybridMultilevel"/>
    <w:lvl w:ilvl="0">
      <w:lvlJc w:val="left"/>
      <w:lvlText w:val="(%1)"/>
      <w:numFmt w:val="lowerLetter"/>
      <w:start w:val="2"/>
    </w:lvl>
  </w:abstractNum>
  <w:abstractNum w:abstractNumId="86">
    <w:nsid w:val="5953172F"/>
    <w:multiLevelType w:val="hybridMultilevel"/>
    <w:lvl w:ilvl="0">
      <w:lvlJc w:val="left"/>
      <w:lvlText w:val="(%1)"/>
      <w:numFmt w:val="lowerLetter"/>
      <w:start w:val="1"/>
    </w:lvl>
  </w:abstractNum>
  <w:abstractNum w:abstractNumId="87">
    <w:nsid w:val="27EDFE3A"/>
    <w:multiLevelType w:val="hybridMultilevel"/>
    <w:lvl w:ilvl="0">
      <w:lvlJc w:val="left"/>
      <w:lvlText w:val="(%1)"/>
      <w:numFmt w:val="lowerLetter"/>
      <w:start w:val="1"/>
    </w:lvl>
  </w:abstractNum>
  <w:abstractNum w:abstractNumId="88">
    <w:nsid w:val="52AC7DFF"/>
    <w:multiLevelType w:val="hybridMultilevel"/>
    <w:lvl w:ilvl="0">
      <w:lvlJc w:val="left"/>
      <w:lvlText w:val="(%1)"/>
      <w:numFmt w:val="lowerRoman"/>
      <w:start w:val="1"/>
    </w:lvl>
  </w:abstractNum>
  <w:abstractNum w:abstractNumId="89">
    <w:nsid w:val="C4C3AF"/>
    <w:multiLevelType w:val="hybridMultilevel"/>
    <w:lvl w:ilvl="0">
      <w:lvlJc w:val="left"/>
      <w:lvlText w:val="(%1)"/>
      <w:numFmt w:val="lowerLetter"/>
      <w:start w:val="1"/>
    </w:lvl>
  </w:abstractNum>
  <w:abstractNum w:abstractNumId="90">
    <w:nsid w:val="44380727"/>
    <w:multiLevelType w:val="hybridMultilevel"/>
    <w:lvl w:ilvl="0">
      <w:lvlJc w:val="left"/>
      <w:lvlText w:val="(%1)"/>
      <w:numFmt w:val="lowerLetter"/>
      <w:start w:val="3"/>
    </w:lvl>
  </w:abstractNum>
  <w:abstractNum w:abstractNumId="91">
    <w:nsid w:val="6C053B16"/>
    <w:multiLevelType w:val="hybridMultilevel"/>
    <w:lvl w:ilvl="0">
      <w:lvlJc w:val="left"/>
      <w:lvlText w:val="(%1)"/>
      <w:numFmt w:val="lowerLetter"/>
      <w:start w:val="1"/>
    </w:lvl>
  </w:abstractNum>
  <w:abstractNum w:abstractNumId="92">
    <w:nsid w:val="4F294393"/>
    <w:multiLevelType w:val="hybridMultilevel"/>
    <w:lvl w:ilvl="0">
      <w:lvlJc w:val="left"/>
      <w:lvlText w:val="(%1)"/>
      <w:numFmt w:val="lowerLetter"/>
      <w:start w:val="3"/>
    </w:lvl>
  </w:abstractNum>
  <w:abstractNum w:abstractNumId="93">
    <w:nsid w:val="5243BFAC"/>
    <w:multiLevelType w:val="hybridMultilevel"/>
    <w:lvl w:ilvl="0">
      <w:lvlJc w:val="left"/>
      <w:lvlText w:val="(%1)"/>
      <w:numFmt w:val="lowerLetter"/>
      <w:start w:val="1"/>
    </w:lvl>
  </w:abstractNum>
  <w:abstractNum w:abstractNumId="94">
    <w:nsid w:val="425EB207"/>
    <w:multiLevelType w:val="hybridMultilevel"/>
    <w:lvl w:ilvl="0">
      <w:lvlJc w:val="left"/>
      <w:lvlText w:val="(%1)"/>
      <w:numFmt w:val="lowerLetter"/>
      <w:start w:val="5"/>
    </w:lvl>
  </w:abstractNum>
  <w:abstractNum w:abstractNumId="95">
    <w:nsid w:val="334A6F1F"/>
    <w:multiLevelType w:val="hybridMultilevel"/>
    <w:lvl w:ilvl="0">
      <w:lvlJc w:val="left"/>
      <w:lvlText w:val="%1"/>
      <w:numFmt w:val="lowerRoman"/>
      <w:start w:val="1"/>
    </w:lvl>
    <w:lvl w:ilvl="1">
      <w:lvlJc w:val="left"/>
      <w:lvlText w:val="(%2)"/>
      <w:numFmt w:val="lowerLetter"/>
      <w:start w:val="1"/>
    </w:lvl>
  </w:abstractNum>
  <w:abstractNum w:abstractNumId="96">
    <w:nsid w:val="2E5B12B8"/>
    <w:multiLevelType w:val="hybridMultilevel"/>
    <w:lvl w:ilvl="0">
      <w:lvlJc w:val="left"/>
      <w:lvlText w:val="(%1)"/>
      <w:numFmt w:val="lowerRoman"/>
      <w:start w:val="2"/>
    </w:lvl>
    <w:lvl w:ilvl="1">
      <w:lvlJc w:val="left"/>
      <w:lvlText w:val="%2"/>
      <w:numFmt w:val="lowerLetter"/>
      <w:start w:val="1"/>
    </w:lvl>
  </w:abstractNum>
  <w:abstractNum w:abstractNumId="97">
    <w:nsid w:val="5C03D76D"/>
    <w:multiLevelType w:val="hybridMultilevel"/>
    <w:lvl w:ilvl="0">
      <w:lvlJc w:val="left"/>
      <w:lvlText w:val="(%1)"/>
      <w:numFmt w:val="lowerRoman"/>
      <w:start w:val="4"/>
    </w:lvl>
    <w:lvl w:ilvl="1">
      <w:lvlJc w:val="left"/>
      <w:lvlText w:val="%2"/>
      <w:numFmt w:val="lowerLetter"/>
      <w:start w:val="1"/>
    </w:lvl>
  </w:abstractNum>
  <w:abstractNum w:abstractNumId="98">
    <w:nsid w:val="66A48D11"/>
    <w:multiLevelType w:val="hybridMultilevel"/>
    <w:lvl w:ilvl="0">
      <w:lvlJc w:val="left"/>
      <w:lvlText w:val="%1"/>
      <w:numFmt w:val="lowerLetter"/>
      <w:start w:val="1"/>
    </w:lvl>
    <w:lvl w:ilvl="1">
      <w:lvlJc w:val="left"/>
      <w:lvlText w:val="(%2)"/>
      <w:numFmt w:val="lowerLetter"/>
      <w:start w:val="7"/>
    </w:lvl>
  </w:abstractNum>
  <w:abstractNum w:abstractNumId="99">
    <w:nsid w:val="56C28E34"/>
    <w:multiLevelType w:val="hybridMultilevel"/>
    <w:lvl w:ilvl="0">
      <w:lvlJc w:val="left"/>
      <w:lvlText w:val="(%1)"/>
      <w:numFmt w:val="lowerLetter"/>
      <w:start w:val="9"/>
    </w:lvl>
    <w:lvl w:ilvl="1">
      <w:lvlJc w:val="left"/>
      <w:lvlText w:val="(%2)"/>
      <w:numFmt w:val="lowerLetter"/>
      <w:start w:val="9"/>
    </w:lvl>
  </w:abstractNum>
  <w:abstractNum w:abstractNumId="100">
    <w:nsid w:val="13916F2D"/>
    <w:multiLevelType w:val="hybridMultilevel"/>
    <w:lvl w:ilvl="0">
      <w:lvlJc w:val="left"/>
      <w:lvlText w:val="(%1)"/>
      <w:numFmt w:val="lowerLetter"/>
      <w:start w:val="1"/>
    </w:lvl>
  </w:abstractNum>
  <w:abstractNum w:abstractNumId="101">
    <w:nsid w:val="435D38D"/>
    <w:multiLevelType w:val="hybridMultilevel"/>
    <w:lvl w:ilvl="0">
      <w:lvlJc w:val="left"/>
      <w:lvlText w:val="(%1)"/>
      <w:numFmt w:val="lowerLetter"/>
      <w:start w:val="4"/>
    </w:lvl>
  </w:abstractNum>
  <w:abstractNum w:abstractNumId="102">
    <w:nsid w:val="822C0EF"/>
    <w:multiLevelType w:val="hybridMultilevel"/>
    <w:lvl w:ilvl="0">
      <w:lvlJc w:val="left"/>
      <w:lvlText w:val="(%1)"/>
      <w:numFmt w:val="lowerLetter"/>
      <w:start w:val="1"/>
    </w:lvl>
  </w:abstractNum>
  <w:abstractNum w:abstractNumId="103">
    <w:nsid w:val="57C5BB4F"/>
    <w:multiLevelType w:val="hybridMultilevel"/>
    <w:lvl w:ilvl="0">
      <w:lvlJc w:val="left"/>
      <w:lvlText w:val="(%1)"/>
      <w:numFmt w:val="lowerLetter"/>
      <w:start w:val="4"/>
    </w:lvl>
  </w:abstractNum>
  <w:abstractNum w:abstractNumId="104">
    <w:nsid w:val="1803D089"/>
    <w:multiLevelType w:val="hybridMultilevel"/>
    <w:lvl w:ilvl="0">
      <w:lvlJc w:val="left"/>
      <w:lvlText w:val="(%1)"/>
      <w:numFmt w:val="lowerLetter"/>
      <w:start w:val="1"/>
    </w:lvl>
  </w:abstractNum>
  <w:abstractNum w:abstractNumId="105">
    <w:nsid w:val="4F3A06D4"/>
    <w:multiLevelType w:val="hybridMultilevel"/>
    <w:lvl w:ilvl="0">
      <w:lvlJc w:val="left"/>
      <w:lvlText w:val="(%1)"/>
      <w:numFmt w:val="lowerLetter"/>
      <w:start w:val="1"/>
    </w:lvl>
  </w:abstractNum>
  <w:abstractNum w:abstractNumId="106">
    <w:nsid w:val="59A377B6"/>
    <w:multiLevelType w:val="hybridMultilevel"/>
    <w:lvl w:ilvl="0">
      <w:lvlJc w:val="left"/>
      <w:lvlText w:val="(%1)"/>
      <w:numFmt w:val="lowerLetter"/>
      <w:start w:val="1"/>
    </w:lvl>
  </w:abstractNum>
  <w:abstractNum w:abstractNumId="107">
    <w:nsid w:val="48AEB063"/>
    <w:multiLevelType w:val="hybridMultilevel"/>
    <w:lvl w:ilvl="0">
      <w:lvlJc w:val="left"/>
      <w:lvlText w:val="(%1)"/>
      <w:numFmt w:val="lowerLetter"/>
      <w:start w:val="2"/>
    </w:lvl>
  </w:abstractNum>
  <w:abstractNum w:abstractNumId="108">
    <w:nsid w:val="24E135"/>
    <w:multiLevelType w:val="hybridMultilevel"/>
    <w:lvl w:ilvl="0">
      <w:lvlJc w:val="left"/>
      <w:lvlText w:val="(%1)"/>
      <w:numFmt w:val="lowerLetter"/>
      <w:start w:val="1"/>
    </w:lvl>
  </w:abstractNum>
  <w:abstractNum w:abstractNumId="109">
    <w:nsid w:val="BB13C1"/>
    <w:multiLevelType w:val="hybridMultilevel"/>
    <w:lvl w:ilvl="0">
      <w:lvlJc w:val="left"/>
      <w:lvlText w:val="%1."/>
      <w:numFmt w:val="decimal"/>
      <w:start w:val="1"/>
    </w:lvl>
  </w:abstractNum>
  <w:abstractNum w:abstractNumId="110">
    <w:nsid w:val="271210C7"/>
    <w:multiLevelType w:val="hybridMultilevel"/>
    <w:lvl w:ilvl="0">
      <w:lvlJc w:val="left"/>
      <w:lvlText w:val="%1."/>
      <w:numFmt w:val="decimal"/>
      <w:start w:val="2"/>
    </w:lvl>
    <w:lvl w:ilvl="1">
      <w:lvlJc w:val="left"/>
      <w:lvlText w:val="(%2)"/>
      <w:numFmt w:val="lowerLetter"/>
      <w:start w:val="1"/>
    </w:lvl>
  </w:abstractNum>
  <w:abstractNum w:abstractNumId="111">
    <w:nsid w:val="217B22E4"/>
    <w:multiLevelType w:val="hybridMultilevel"/>
    <w:lvl w:ilvl="0">
      <w:lvlJc w:val="left"/>
      <w:lvlText w:val="%1"/>
      <w:numFmt w:val="lowerRoman"/>
      <w:start w:val="1"/>
    </w:lvl>
    <w:lvl w:ilvl="1">
      <w:lvlJc w:val="left"/>
      <w:lvlText w:val="%2."/>
      <w:numFmt w:val="decimal"/>
      <w:start w:val="5"/>
    </w:lvl>
  </w:abstractNum>
  <w:abstractNum w:abstractNumId="112">
    <w:nsid w:val="53E31A24"/>
    <w:multiLevelType w:val="hybridMultilevel"/>
    <w:lvl w:ilvl="0">
      <w:lvlJc w:val="left"/>
      <w:lvlText w:val="(%1)"/>
      <w:numFmt w:val="lowerRoman"/>
      <w:start w:val="2"/>
    </w:lvl>
    <w:lvl w:ilvl="1">
      <w:lvlJc w:val="left"/>
      <w:lvlText w:val="%2."/>
      <w:numFmt w:val="decimal"/>
      <w:start w:val="6"/>
    </w:lvl>
  </w:abstractNum>
  <w:abstractNum w:abstractNumId="113">
    <w:nsid w:val="6DC45E83"/>
    <w:multiLevelType w:val="hybridMultilevel"/>
    <w:lvl w:ilvl="0">
      <w:lvlJc w:val="left"/>
      <w:lvlText w:val="%1."/>
      <w:numFmt w:val="decimal"/>
      <w:start w:val="7"/>
    </w:lvl>
    <w:lvl w:ilvl="1">
      <w:lvlJc w:val="left"/>
      <w:lvlText w:val="(%2)"/>
      <w:numFmt w:val="lowerLetter"/>
      <w:start w:val="1"/>
    </w:lvl>
  </w:abstractNum>
  <w:abstractNum w:abstractNumId="114">
    <w:nsid w:val="17304A67"/>
    <w:multiLevelType w:val="hybridMultilevel"/>
    <w:lvl w:ilvl="0">
      <w:lvlJc w:val="left"/>
      <w:lvlText w:val="%1."/>
      <w:numFmt w:val="decimal"/>
      <w:start w:val="9"/>
    </w:lvl>
  </w:abstractNum>
  <w:abstractNum w:abstractNumId="115">
    <w:nsid w:val="2BB180D8"/>
    <w:multiLevelType w:val="hybridMultilevel"/>
    <w:lvl w:ilvl="0">
      <w:lvlJc w:val="left"/>
      <w:lvlText w:val="%1."/>
      <w:numFmt w:val="decimal"/>
      <w:start w:val="1"/>
    </w:lvl>
  </w:abstractNum>
  <w:abstractNum w:abstractNumId="116">
    <w:nsid w:val="556B69ED"/>
    <w:multiLevelType w:val="hybridMultilevel"/>
    <w:lvl w:ilvl="0">
      <w:lvlJc w:val="left"/>
      <w:lvlText w:val="%1."/>
      <w:numFmt w:val="decimal"/>
      <w:start w:val="2"/>
    </w:lvl>
  </w:abstractNum>
  <w:abstractNum w:abstractNumId="117">
    <w:nsid w:val="7083619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8">
    <w:nsid w:val="539F7F12"/>
    <w:multiLevelType w:val="hybridMultilevel"/>
    <w:lvl w:ilvl="0">
      <w:lvlJc w:val="left"/>
      <w:lvlText w:val="%1"/>
      <w:numFmt w:val="decimal"/>
      <w:start w:val="1"/>
    </w:lvl>
    <w:lvl w:ilvl="1">
      <w:lvlJc w:val="left"/>
      <w:lvlText w:val="(%2)"/>
      <w:numFmt w:val="lowerLetter"/>
      <w:start w:val="4"/>
    </w:lvl>
  </w:abstractNum>
  <w:abstractNum w:abstractNumId="119">
    <w:nsid w:val="2817E7EC"/>
    <w:multiLevelType w:val="hybridMultilevel"/>
    <w:lvl w:ilvl="0">
      <w:lvlJc w:val="left"/>
      <w:lvlText w:val="%1."/>
      <w:numFmt w:val="decimal"/>
      <w:start w:val="7"/>
    </w:lvl>
    <w:lvl w:ilvl="1">
      <w:lvlJc w:val="left"/>
      <w:lvlText w:val="(%2)"/>
      <w:numFmt w:val="lowerLetter"/>
      <w:start w:val="1"/>
    </w:lvl>
  </w:abstractNum>
  <w:abstractNum w:abstractNumId="120">
    <w:nsid w:val="71482545"/>
    <w:multiLevelType w:val="hybridMultilevel"/>
    <w:lvl w:ilvl="0">
      <w:lvlJc w:val="left"/>
      <w:lvlText w:val="%1."/>
      <w:numFmt w:val="decimal"/>
      <w:start w:val="9"/>
    </w:lvl>
  </w:abstractNum>
  <w:abstractNum w:abstractNumId="121">
    <w:nsid w:val="17D78639"/>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22">
    <w:nsid w:val="141D2302"/>
    <w:multiLevelType w:val="hybridMultilevel"/>
    <w:lvl w:ilvl="0">
      <w:lvlJc w:val="left"/>
      <w:lvlText w:val="(%1)"/>
      <w:numFmt w:val="lowerLetter"/>
      <w:start w:val="35"/>
    </w:lvl>
    <w:lvl w:ilvl="1">
      <w:lvlJc w:val="left"/>
      <w:lvlText w:val="%2."/>
      <w:numFmt w:val="decimal"/>
      <w:start w:val="11"/>
    </w:lvl>
    <w:lvl w:ilvl="2">
      <w:lvlJc w:val="left"/>
      <w:lvlText w:val="(%3)"/>
      <w:numFmt w:val="lowerLetter"/>
      <w:start w:val="1"/>
    </w:lvl>
  </w:abstractNum>
  <w:abstractNum w:abstractNumId="123">
    <w:nsid w:val="407168D8"/>
    <w:multiLevelType w:val="hybridMultilevel"/>
    <w:lvl w:ilvl="0">
      <w:lvlJc w:val="left"/>
      <w:lvlText w:val="%1"/>
      <w:numFmt w:val="decimal"/>
      <w:start w:val="1"/>
    </w:lvl>
    <w:lvl w:ilvl="1">
      <w:lvlJc w:val="left"/>
      <w:lvlText w:val="(%2)"/>
      <w:numFmt w:val="lowerLetter"/>
      <w:start w:val="2"/>
    </w:lvl>
  </w:abstractNum>
  <w:abstractNum w:abstractNumId="124">
    <w:nsid w:val="6A1B45E5"/>
    <w:multiLevelType w:val="hybridMultilevel"/>
    <w:lvl w:ilvl="0">
      <w:lvlJc w:val="left"/>
      <w:lvlText w:val="%1."/>
      <w:numFmt w:val="decimal"/>
      <w:start w:val="13"/>
    </w:lvl>
    <w:lvl w:ilvl="1">
      <w:lvlJc w:val="left"/>
      <w:lvlText w:val="%2"/>
      <w:numFmt w:val="lowerLetter"/>
      <w:start w:val="1"/>
    </w:lvl>
  </w:abstractNum>
  <w:abstractNum w:abstractNumId="125">
    <w:nsid w:val="567BD50A"/>
    <w:multiLevelType w:val="hybridMultilevel"/>
    <w:lvl w:ilvl="0">
      <w:lvlJc w:val="left"/>
      <w:lvlText w:val="(%1)"/>
      <w:numFmt w:val="upperLetter"/>
      <w:start w:val="1"/>
    </w:lvl>
  </w:abstractNum>
  <w:abstractNum w:abstractNumId="126">
    <w:nsid w:val="73BBD7F8"/>
    <w:multiLevelType w:val="hybridMultilevel"/>
    <w:lvl w:ilvl="0">
      <w:lvlJc w:val="left"/>
      <w:lvlText w:val="(%1)"/>
      <w:numFmt w:val="decimal"/>
      <w:start w:val="5"/>
    </w:lvl>
  </w:abstractNum>
  <w:abstractNum w:abstractNumId="127">
    <w:nsid w:val="1876589D"/>
    <w:multiLevelType w:val="hybridMultilevel"/>
    <w:lvl w:ilvl="0">
      <w:lvlJc w:val="left"/>
      <w:lvlText w:val="(%1)"/>
      <w:numFmt w:val="lowerLetter"/>
      <w:start w:val="1"/>
    </w:lvl>
  </w:abstractNum>
  <w:abstractNum w:abstractNumId="128">
    <w:nsid w:val="327FAC77"/>
    <w:multiLevelType w:val="hybridMultilevel"/>
    <w:lvl w:ilvl="0">
      <w:lvlJc w:val="left"/>
      <w:lvlText w:val="(%1)"/>
      <w:numFmt w:val="lowerLetter"/>
      <w:start w:val="3"/>
    </w:lvl>
  </w:abstractNum>
  <w:abstractNum w:abstractNumId="129">
    <w:nsid w:val="5A606509"/>
    <w:multiLevelType w:val="hybridMultilevel"/>
    <w:lvl w:ilvl="0">
      <w:lvlJc w:val="left"/>
      <w:lvlText w:val="(%1)"/>
      <w:numFmt w:val="lowerLetter"/>
      <w:start w:val="1"/>
    </w:lvl>
  </w:abstractNum>
  <w:abstractNum w:abstractNumId="130">
    <w:nsid w:val="6F38E6D1"/>
    <w:multiLevelType w:val="hybridMultilevel"/>
    <w:lvl w:ilvl="0">
      <w:lvlJc w:val="left"/>
      <w:lvlText w:val="%1."/>
      <w:numFmt w:val="decimal"/>
      <w:start w:val="1"/>
    </w:lvl>
  </w:abstractNum>
  <w:abstractNum w:abstractNumId="131">
    <w:nsid w:val="46111BA5"/>
    <w:multiLevelType w:val="hybridMultilevel"/>
    <w:lvl w:ilvl="0">
      <w:lvlJc w:val="left"/>
      <w:lvlText w:val="%1."/>
      <w:numFmt w:val="decimal"/>
      <w:start w:val="2"/>
    </w:lvl>
    <w:lvl w:ilvl="1">
      <w:lvlJc w:val="left"/>
      <w:lvlText w:val="(%2)"/>
      <w:numFmt w:val="lowerLetter"/>
      <w:start w:val="1"/>
    </w:lvl>
  </w:abstractNum>
  <w:abstractNum w:abstractNumId="132">
    <w:nsid w:val="5E963896"/>
    <w:multiLevelType w:val="hybridMultilevel"/>
    <w:lvl w:ilvl="0">
      <w:lvlJc w:val="left"/>
      <w:lvlText w:val="%1."/>
      <w:numFmt w:val="decimal"/>
      <w:start w:val="1"/>
    </w:lvl>
    <w:lvl w:ilvl="1">
      <w:lvlJc w:val="left"/>
      <w:lvlText w:val="(%2)"/>
      <w:numFmt w:val="lowerLetter"/>
      <w:start w:val="1"/>
    </w:lvl>
  </w:abstractNum>
  <w:abstractNum w:abstractNumId="133">
    <w:nsid w:val="775BA7C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134">
    <w:nsid w:val="1DD6D6F4"/>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35">
    <w:nsid w:val="769A091F"/>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36">
    <w:nsid w:val="4695AE95"/>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37">
    <w:nsid w:val="777A4EAA"/>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3"/>
    </w:lvl>
  </w:abstractNum>
  <w:abstractNum w:abstractNumId="138">
    <w:nsid w:val="3F48B98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39">
    <w:nsid w:val="46BA8FCA"/>
    <w:multiLevelType w:val="hybridMultilevel"/>
    <w:lvl w:ilvl="0">
      <w:lvlJc w:val="left"/>
      <w:lvlText w:val="%1."/>
      <w:numFmt w:val="decimal"/>
      <w:start w:val="4"/>
    </w:lvl>
    <w:lvl w:ilvl="1">
      <w:lvlJc w:val="left"/>
      <w:lvlText w:val="(%2)"/>
      <w:numFmt w:val="lowerLetter"/>
      <w:start w:val="1"/>
    </w:lvl>
  </w:abstractNum>
  <w:abstractNum w:abstractNumId="140">
    <w:nsid w:val="7835626C"/>
    <w:multiLevelType w:val="hybridMultilevel"/>
    <w:lvl w:ilvl="0">
      <w:lvlJc w:val="left"/>
      <w:lvlText w:val="%1"/>
      <w:numFmt w:val="decimal"/>
      <w:start w:val="1"/>
    </w:lvl>
    <w:lvl w:ilvl="1">
      <w:lvlJc w:val="left"/>
      <w:lvlText w:val="(%2)"/>
      <w:numFmt w:val="lowerLetter"/>
      <w:start w:val="3"/>
    </w:lvl>
  </w:abstractNum>
  <w:abstractNum w:abstractNumId="141">
    <w:nsid w:val="665ACA49"/>
    <w:multiLevelType w:val="hybridMultilevel"/>
    <w:lvl w:ilvl="0">
      <w:lvlJc w:val="left"/>
      <w:lvlText w:val="%1."/>
      <w:numFmt w:val="decimal"/>
      <w:start w:val="8"/>
    </w:lvl>
    <w:lvl w:ilvl="1">
      <w:lvlJc w:val="left"/>
      <w:lvlText w:val="%2"/>
      <w:numFmt w:val="lowerLetter"/>
      <w:start w:val="1"/>
    </w:lvl>
  </w:abstractNum>
  <w:abstractNum w:abstractNumId="142">
    <w:nsid w:val="6835B2AE"/>
    <w:multiLevelType w:val="hybridMultilevel"/>
    <w:lvl w:ilvl="0">
      <w:lvlJc w:val="left"/>
      <w:lvlText w:val="(%1)"/>
      <w:numFmt w:val="lowerLetter"/>
      <w:start w:val="1"/>
    </w:lvl>
  </w:abstractNum>
  <w:abstractNum w:abstractNumId="143">
    <w:nsid w:val="4C187C90"/>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9"/>
    </w:lvl>
  </w:abstractNum>
  <w:abstractNum w:abstractNumId="144">
    <w:nsid w:val="541F28CD"/>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145">
    <w:nsid w:val="7F65FD1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46">
    <w:nsid w:val="77C9FD6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7">
    <w:nsid w:val="298A92BA"/>
    <w:multiLevelType w:val="hybridMultilevel"/>
    <w:lvl w:ilvl="0">
      <w:lvlJc w:val="left"/>
      <w:lvlText w:val="(%1)"/>
      <w:numFmt w:val="decimal"/>
      <w:start w:val="5"/>
    </w:lvl>
    <w:lvl w:ilvl="1">
      <w:lvlJc w:val="left"/>
      <w:lvlText w:val="(%2)"/>
      <w:numFmt w:val="lowerLetter"/>
      <w:start w:val="4"/>
    </w:lvl>
    <w:lvl w:ilvl="2">
      <w:lvlJc w:val="left"/>
      <w:lvlText w:val="%3"/>
      <w:numFmt w:val="lowerRoman"/>
      <w:start w:val="1"/>
    </w:lvl>
  </w:abstractNum>
  <w:abstractNum w:abstractNumId="148">
    <w:nsid w:val="6FE95EAC"/>
    <w:multiLevelType w:val="hybridMultilevel"/>
    <w:lvl w:ilvl="0">
      <w:lvlJc w:val="left"/>
      <w:lvlText w:val="(%1)"/>
      <w:numFmt w:val="lowerLetter"/>
      <w:start w:val="5"/>
    </w:lvl>
    <w:lvl w:ilvl="1">
      <w:lvlJc w:val="left"/>
      <w:lvlText w:val="(%2)"/>
      <w:numFmt w:val="decimal"/>
      <w:start w:val="1"/>
    </w:lvl>
  </w:abstractNum>
  <w:abstractNum w:abstractNumId="149">
    <w:nsid w:val="4B697C7A"/>
    <w:multiLevelType w:val="hybridMultilevel"/>
    <w:lvl w:ilvl="0">
      <w:lvlJc w:val="left"/>
      <w:lvlText w:val="(%1)"/>
      <w:numFmt w:val="lowerLetter"/>
      <w:start w:val="1"/>
    </w:lvl>
  </w:abstractNum>
  <w:abstractNum w:abstractNumId="150">
    <w:nsid w:val="51A27AA6"/>
    <w:multiLevelType w:val="hybridMultilevel"/>
    <w:lvl w:ilvl="0">
      <w:lvlJc w:val="left"/>
      <w:lvlText w:val="(%1)"/>
      <w:numFmt w:val="lowerLetter"/>
      <w:start w:val="2"/>
    </w:lvl>
  </w:abstractNum>
  <w:abstractNum w:abstractNumId="151">
    <w:nsid w:val="613183F2"/>
    <w:multiLevelType w:val="hybridMultilevel"/>
    <w:lvl w:ilvl="0">
      <w:lvlJc w:val="left"/>
      <w:lvlText w:val="(%1)"/>
      <w:numFmt w:val="lowerLetter"/>
      <w:start w:val="1"/>
    </w:lvl>
  </w:abstractNum>
  <w:abstractNum w:abstractNumId="152">
    <w:nsid w:val="634102B4"/>
    <w:multiLevelType w:val="hybridMultilevel"/>
    <w:lvl w:ilvl="0">
      <w:lvlJc w:val="left"/>
      <w:lvlText w:val="(%1)"/>
      <w:numFmt w:val="decimal"/>
      <w:start w:val="10"/>
    </w:lvl>
  </w:abstractNum>
  <w:abstractNum w:abstractNumId="153">
    <w:nsid w:val="65BF9DA8"/>
    <w:multiLevelType w:val="hybridMultilevel"/>
    <w:lvl w:ilvl="0">
      <w:lvlJc w:val="left"/>
      <w:lvlText w:val="(%1)"/>
      <w:numFmt w:val="lowerLetter"/>
      <w:start w:val="1"/>
    </w:lvl>
  </w:abstractNum>
  <w:abstractNum w:abstractNumId="154">
    <w:nsid w:val="21A2ECCA"/>
    <w:multiLevelType w:val="hybridMultilevel"/>
    <w:lvl w:ilvl="0">
      <w:lvlJc w:val="left"/>
      <w:lvlText w:val="%1"/>
      <w:numFmt w:val="decimal"/>
      <w:start w:val="1"/>
    </w:lvl>
    <w:lvl w:ilvl="1">
      <w:lvlJc w:val="left"/>
      <w:lvlText w:val="(%2)"/>
      <w:numFmt w:val="lowerLetter"/>
      <w:start w:val="3"/>
    </w:lvl>
  </w:abstractNum>
  <w:abstractNum w:abstractNumId="155">
    <w:nsid w:val="4D5C4899"/>
    <w:multiLevelType w:val="hybridMultilevel"/>
    <w:lvl w:ilvl="0">
      <w:lvlJc w:val="left"/>
      <w:lvlText w:val="(%1)"/>
      <w:numFmt w:val="decimal"/>
      <w:start w:val="4"/>
    </w:lvl>
    <w:lvl w:ilvl="1">
      <w:lvlJc w:val="left"/>
      <w:lvlText w:val="%2"/>
      <w:numFmt w:val="lowerLetter"/>
      <w:start w:val="1"/>
    </w:lvl>
  </w:abstractNum>
  <w:abstractNum w:abstractNumId="156">
    <w:nsid w:val="3C3B72B2"/>
    <w:multiLevelType w:val="hybridMultilevel"/>
    <w:lvl w:ilvl="0">
      <w:lvlJc w:val="left"/>
      <w:lvlText w:val="(%1)"/>
      <w:numFmt w:val="lowerLetter"/>
      <w:start w:val="1"/>
    </w:lvl>
  </w:abstractNum>
  <w:abstractNum w:abstractNumId="157">
    <w:nsid w:val="155EC4C2"/>
    <w:multiLevelType w:val="hybridMultilevel"/>
    <w:lvl w:ilvl="0">
      <w:lvlJc w:val="left"/>
      <w:lvlText w:val="(%1)"/>
      <w:numFmt w:val="lowerLetter"/>
      <w:start w:val="1"/>
    </w:lvl>
  </w:abstractNum>
  <w:abstractNum w:abstractNumId="158">
    <w:nsid w:val="65D2A137"/>
    <w:multiLevelType w:val="hybridMultilevel"/>
    <w:lvl w:ilvl="0">
      <w:lvlJc w:val="left"/>
      <w:lvlText w:val="(%1)"/>
      <w:numFmt w:val="lowerLetter"/>
      <w:start w:val="1"/>
    </w:lvl>
  </w:abstractNum>
  <w:abstractNum w:abstractNumId="159">
    <w:nsid w:val="6EBB1F2A"/>
    <w:multiLevelType w:val="hybridMultilevel"/>
    <w:lvl w:ilvl="0">
      <w:lvlJc w:val="left"/>
      <w:lvlText w:val="(%1)"/>
      <w:numFmt w:val="lowerLetter"/>
      <w:start w:val="1"/>
    </w:lvl>
  </w:abstractNum>
  <w:abstractNum w:abstractNumId="160">
    <w:nsid w:val="6FBF29CB"/>
    <w:multiLevelType w:val="hybridMultilevel"/>
    <w:lvl w:ilvl="0">
      <w:lvlJc w:val="left"/>
      <w:lvlText w:val="(%1)"/>
      <w:numFmt w:val="lowerLetter"/>
      <w:start w:val="2"/>
    </w:lvl>
  </w:abstractNum>
  <w:abstractNum w:abstractNumId="161">
    <w:nsid w:val="550B8808"/>
    <w:multiLevelType w:val="hybridMultilevel"/>
    <w:lvl w:ilvl="0">
      <w:lvlJc w:val="left"/>
      <w:lvlText w:val="(%1)"/>
      <w:numFmt w:val="lowerLetter"/>
      <w:start w:val="7"/>
    </w:lvl>
  </w:abstractNum>
  <w:abstractNum w:abstractNumId="162">
    <w:nsid w:val="34CC3ACF"/>
    <w:multiLevelType w:val="hybridMultilevel"/>
    <w:lvl w:ilvl="0">
      <w:lvlJc w:val="left"/>
      <w:lvlText w:val="(%1)"/>
      <w:numFmt w:val="lowerLetter"/>
      <w:start w:val="1"/>
    </w:lvl>
  </w:abstractNum>
  <w:abstractNum w:abstractNumId="163">
    <w:nsid w:val="4E556261"/>
    <w:multiLevelType w:val="hybridMultilevel"/>
    <w:lvl w:ilvl="0">
      <w:lvlJc w:val="left"/>
      <w:lvlText w:val="(%1)"/>
      <w:numFmt w:val="lowerLetter"/>
      <w:start w:val="1"/>
    </w:lvl>
  </w:abstractNum>
  <w:abstractNum w:abstractNumId="164">
    <w:nsid w:val="4C672FC9"/>
    <w:multiLevelType w:val="hybridMultilevel"/>
    <w:lvl w:ilvl="0">
      <w:lvlJc w:val="left"/>
      <w:lvlText w:val="(%1)"/>
      <w:numFmt w:val="lowerLetter"/>
      <w:start w:val="1"/>
    </w:lvl>
  </w:abstractNum>
  <w:abstractNum w:abstractNumId="165">
    <w:nsid w:val="52A311C3"/>
    <w:multiLevelType w:val="hybridMultilevel"/>
    <w:lvl w:ilvl="0">
      <w:lvlJc w:val="left"/>
      <w:lvlText w:val="(%1)"/>
      <w:numFmt w:val="lowerLetter"/>
      <w:start w:val="2"/>
    </w:lvl>
  </w:abstractNum>
  <w:abstractNum w:abstractNumId="166">
    <w:nsid w:val="44EF6B80"/>
    <w:multiLevelType w:val="hybridMultilevel"/>
    <w:lvl w:ilvl="0">
      <w:lvlJc w:val="left"/>
      <w:lvlText w:val="(%1)"/>
      <w:numFmt w:val="lowerLetter"/>
      <w:start w:val="1"/>
    </w:lvl>
  </w:abstractNum>
  <w:abstractNum w:abstractNumId="167">
    <w:nsid w:val="12FCDE5E"/>
    <w:multiLevelType w:val="hybridMultilevel"/>
    <w:lvl w:ilvl="0">
      <w:lvlJc w:val="left"/>
      <w:lvlText w:val="(%1)"/>
      <w:numFmt w:val="lowerLetter"/>
      <w:start w:val="5"/>
    </w:lvl>
    <w:lvl w:ilvl="1">
      <w:lvlJc w:val="left"/>
      <w:lvlText w:val="(%2)"/>
      <w:numFmt w:val="lowerLetter"/>
      <w:start w:val="9"/>
    </w:lvl>
  </w:abstractNum>
  <w:abstractNum w:abstractNumId="168">
    <w:nsid w:val="4A1D606E"/>
    <w:multiLevelType w:val="hybridMultilevel"/>
    <w:lvl w:ilvl="0">
      <w:lvlJc w:val="left"/>
      <w:lvlText w:val="(%1)"/>
      <w:numFmt w:val="lowerRoman"/>
      <w:start w:val="2"/>
    </w:lvl>
  </w:abstractNum>
  <w:abstractNum w:abstractNumId="169">
    <w:nsid w:val="4382503"/>
    <w:multiLevelType w:val="hybridMultilevel"/>
    <w:lvl w:ilvl="0">
      <w:lvlJc w:val="left"/>
      <w:lvlText w:val="%1"/>
      <w:numFmt w:val="decimal"/>
      <w:start w:val="1"/>
    </w:lvl>
    <w:lvl w:ilvl="1">
      <w:lvlJc w:val="left"/>
      <w:lvlText w:val="(%2)"/>
      <w:numFmt w:val="lowerLetter"/>
      <w:start w:val="1"/>
    </w:lvl>
  </w:abstractNum>
  <w:abstractNum w:abstractNumId="170">
    <w:nsid w:val="59B76E28"/>
    <w:multiLevelType w:val="hybridMultilevel"/>
    <w:lvl w:ilvl="0">
      <w:lvlJc w:val="left"/>
      <w:lvlText w:val="(%1)"/>
      <w:numFmt w:val="decimal"/>
      <w:start w:val="2"/>
    </w:lvl>
    <w:lvl w:ilvl="1">
      <w:lvlJc w:val="left"/>
      <w:lvlText w:val="%2"/>
      <w:numFmt w:val="lowerLetter"/>
      <w:start w:val="1"/>
    </w:lvl>
  </w:abstractNum>
  <w:abstractNum w:abstractNumId="171">
    <w:nsid w:val="4252C2DA"/>
    <w:multiLevelType w:val="hybridMultilevel"/>
    <w:lvl w:ilvl="0">
      <w:lvlJc w:val="left"/>
      <w:lvlText w:val="(%1)"/>
      <w:numFmt w:val="lowerLetter"/>
      <w:start w:val="2"/>
    </w:lvl>
  </w:abstractNum>
  <w:abstractNum w:abstractNumId="172">
    <w:nsid w:val="6A92EF4C"/>
    <w:multiLevelType w:val="hybridMultilevel"/>
    <w:lvl w:ilvl="0">
      <w:lvlJc w:val="left"/>
      <w:lvlText w:val="%1."/>
      <w:numFmt w:val="decimal"/>
      <w:start w:val="1"/>
    </w:lvl>
  </w:abstractNum>
  <w:abstractNum w:abstractNumId="173">
    <w:nsid w:val="41ED20D7"/>
    <w:multiLevelType w:val="hybridMultilevel"/>
    <w:lvl w:ilvl="0">
      <w:lvlJc w:val="left"/>
      <w:lvlText w:val="%1."/>
      <w:numFmt w:val="decimal"/>
      <w:start w:val="3"/>
    </w:lvl>
    <w:lvl w:ilvl="1">
      <w:lvlJc w:val="left"/>
      <w:lvlText w:val="(%2)"/>
      <w:numFmt w:val="lowerLetter"/>
      <w:start w:val="1"/>
    </w:lvl>
  </w:abstractNum>
  <w:abstractNum w:abstractNumId="174">
    <w:nsid w:val="E6B3F6A"/>
    <w:multiLevelType w:val="hybridMultilevel"/>
    <w:lvl w:ilvl="0">
      <w:lvlJc w:val="left"/>
      <w:lvlText w:val="(%1)"/>
      <w:numFmt w:val="lowerLetter"/>
      <w:start w:val="6"/>
    </w:lvl>
  </w:abstractNum>
  <w:abstractNum w:abstractNumId="175">
    <w:nsid w:val="3EB21819"/>
    <w:multiLevelType w:val="hybridMultilevel"/>
    <w:lvl w:ilvl="0">
      <w:lvlJc w:val="left"/>
      <w:lvlText w:val="(%1)"/>
      <w:numFmt w:val="lowerLetter"/>
      <w:start w:val="7"/>
    </w:lvl>
  </w:abstractNum>
  <w:abstractNum w:abstractNumId="176">
    <w:nsid w:val="41531DED"/>
    <w:multiLevelType w:val="hybridMultilevel"/>
    <w:lvl w:ilvl="0">
      <w:lvlJc w:val="left"/>
      <w:lvlText w:val="%1."/>
      <w:numFmt w:val="decimal"/>
      <w:start w:val="5"/>
    </w:lvl>
  </w:abstractNum>
  <w:abstractNum w:abstractNumId="177">
    <w:nsid w:val="6353CD2"/>
    <w:multiLevelType w:val="hybridMultilevel"/>
    <w:lvl w:ilvl="0">
      <w:lvlJc w:val="left"/>
      <w:lvlText w:val="%1."/>
      <w:numFmt w:val="decimal"/>
      <w:start w:val="6"/>
    </w:lvl>
  </w:abstractNum>
  <w:abstractNum w:abstractNumId="178">
    <w:nsid w:val="683CAAD3"/>
    <w:multiLevelType w:val="hybridMultilevel"/>
    <w:lvl w:ilvl="0">
      <w:lvlJc w:val="left"/>
      <w:lvlText w:val="%1."/>
      <w:numFmt w:val="decimal"/>
      <w:start w:val="7"/>
    </w:lvl>
  </w:abstractNum>
  <w:abstractNum w:abstractNumId="179">
    <w:nsid w:val="313C7C99"/>
    <w:multiLevelType w:val="hybridMultilevel"/>
    <w:lvl w:ilvl="0">
      <w:lvlJc w:val="left"/>
      <w:lvlText w:val="%1."/>
      <w:numFmt w:val="decimal"/>
      <w:start w:val="9"/>
    </w:lvl>
  </w:abstractNum>
  <w:abstractNum w:abstractNumId="180">
    <w:nsid w:val="519EB94C"/>
    <w:multiLevelType w:val="hybridMultilevel"/>
    <w:lvl w:ilvl="0">
      <w:lvlJc w:val="left"/>
      <w:lvlText w:val="%1."/>
      <w:numFmt w:val="decimal"/>
      <w:start w:val="13"/>
    </w:lvl>
  </w:abstractNum>
  <w:abstractNum w:abstractNumId="181">
    <w:nsid w:val="39DF2579"/>
    <w:multiLevelType w:val="hybridMultilevel"/>
    <w:lvl w:ilvl="0">
      <w:lvlJc w:val="left"/>
      <w:lvlText w:val="%1."/>
      <w:numFmt w:val="decimal"/>
      <w:start w:val="1"/>
    </w:lvl>
    <w:lvl w:ilvl="1">
      <w:lvlJc w:val="left"/>
      <w:lvlText w:val="(%2)"/>
      <w:numFmt w:val="lowerLetter"/>
      <w:start w:val="1"/>
    </w:lvl>
  </w:abstractNum>
  <w:abstractNum w:abstractNumId="182">
    <w:nsid w:val="126E008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3">
    <w:nsid w:val="34DFBC0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4">
    <w:nsid w:val="1F9EC3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85">
    <w:nsid w:val="3410ED5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6">
    <w:nsid w:val="23C049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87">
    <w:nsid w:val="5BDA35D4"/>
    <w:multiLevelType w:val="hybridMultilevel"/>
    <w:lvl w:ilvl="0">
      <w:lvlJc w:val="left"/>
      <w:lvlText w:val="(%1)"/>
      <w:numFmt w:val="lowerLetter"/>
      <w:start w:val="1"/>
    </w:lvl>
    <w:lvl w:ilvl="1">
      <w:lvlJc w:val="left"/>
      <w:lvlText w:val="(%2)"/>
      <w:numFmt w:val="lowerRoman"/>
      <w:start w:val="1"/>
    </w:lvl>
  </w:abstractNum>
  <w:abstractNum w:abstractNumId="188">
    <w:nsid w:val="496FB218"/>
    <w:multiLevelType w:val="hybridMultilevel"/>
    <w:lvl w:ilvl="0">
      <w:lvlJc w:val="left"/>
      <w:lvlText w:val="%1"/>
      <w:numFmt w:val="lowerLetter"/>
      <w:start w:val="1"/>
    </w:lvl>
    <w:lvl w:ilvl="1">
      <w:lvlJc w:val="left"/>
      <w:lvlText w:val="(%2)"/>
      <w:numFmt w:val="lowerLetter"/>
      <w:start w:val="22"/>
    </w:lvl>
  </w:abstractNum>
  <w:abstractNum w:abstractNumId="189">
    <w:nsid w:val="680EA5D1"/>
    <w:multiLevelType w:val="hybridMultilevel"/>
    <w:lvl w:ilvl="0">
      <w:lvlJc w:val="left"/>
      <w:lvlText w:val="(%1)"/>
      <w:numFmt w:val="lowerLetter"/>
      <w:start w:val="4"/>
    </w:lvl>
    <w:lvl w:ilvl="1">
      <w:lvlJc w:val="left"/>
      <w:lvlText w:val="(%2)"/>
      <w:numFmt w:val="lowerLetter"/>
      <w:start w:val="9"/>
    </w:lvl>
  </w:abstractNum>
  <w:abstractNum w:abstractNumId="190">
    <w:nsid w:val="4A9554FE"/>
    <w:multiLevelType w:val="hybridMultilevel"/>
    <w:lvl w:ilvl="0">
      <w:lvlJc w:val="left"/>
      <w:lvlText w:val="%1"/>
      <w:numFmt w:val="lowerLetter"/>
      <w:start w:val="1"/>
    </w:lvl>
    <w:lvl w:ilvl="1">
      <w:lvlJc w:val="left"/>
      <w:lvlText w:val="(%2)"/>
      <w:numFmt w:val="lowerLetter"/>
      <w:start w:val="35"/>
    </w:lvl>
  </w:abstractNum>
  <w:abstractNum w:abstractNumId="191">
    <w:nsid w:val="392EDBE4"/>
    <w:multiLevelType w:val="hybridMultilevel"/>
    <w:lvl w:ilvl="0">
      <w:lvlJc w:val="left"/>
      <w:lvlText w:val="(%1)"/>
      <w:numFmt w:val="lowerLetter"/>
      <w:start w:val="6"/>
    </w:lvl>
    <w:lvl w:ilvl="1">
      <w:lvlJc w:val="left"/>
      <w:lvlText w:val="%2"/>
      <w:numFmt w:val="lowerLetter"/>
      <w:start w:val="1"/>
    </w:lvl>
  </w:abstractNum>
  <w:abstractNum w:abstractNumId="192">
    <w:nsid w:val="3D1A2DD9"/>
    <w:multiLevelType w:val="hybridMultilevel"/>
    <w:lvl w:ilvl="0">
      <w:lvlJc w:val="left"/>
      <w:lvlText w:val="(%1)"/>
      <w:numFmt w:val="lowerLetter"/>
      <w:start w:val="8"/>
    </w:lvl>
    <w:lvl w:ilvl="1">
      <w:lvlJc w:val="left"/>
      <w:lvlText w:val="(%2)"/>
      <w:numFmt w:val="lowerRoman"/>
      <w:start w:val="1"/>
    </w:lvl>
  </w:abstractNum>
  <w:abstractNum w:abstractNumId="193">
    <w:nsid w:val="7F618FCD"/>
    <w:multiLevelType w:val="hybridMultilevel"/>
    <w:lvl w:ilvl="0">
      <w:lvlJc w:val="left"/>
      <w:lvlText w:val="(%1)"/>
      <w:numFmt w:val="lowerRoman"/>
      <w:start w:val="1"/>
    </w:lvl>
  </w:abstractNum>
  <w:abstractNum w:abstractNumId="194">
    <w:nsid w:val="7843E45"/>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195">
    <w:nsid w:val="9815DA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96">
    <w:nsid w:val="5204A191"/>
    <w:multiLevelType w:val="hybridMultilevel"/>
    <w:lvl w:ilvl="0">
      <w:lvlJc w:val="left"/>
      <w:lvlText w:val="(%1)"/>
      <w:numFmt w:val="lowerRoman"/>
      <w:start w:val="2"/>
    </w:lvl>
    <w:lvl w:ilvl="1">
      <w:lvlJc w:val="left"/>
      <w:lvlText w:val="(%2)"/>
      <w:numFmt w:val="decimal"/>
      <w:start w:val="1"/>
    </w:lvl>
  </w:abstractNum>
  <w:abstractNum w:abstractNumId="197">
    <w:nsid w:val="4C73A9C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98">
    <w:nsid w:val="1C7E3C0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99">
    <w:nsid w:val="1C2201FF"/>
    <w:multiLevelType w:val="hybridMultilevel"/>
    <w:lvl w:ilvl="0">
      <w:lvlJc w:val="left"/>
      <w:lvlText w:val="(%1)"/>
      <w:numFmt w:val="lowerRoman"/>
      <w:start w:val="2"/>
    </w:lvl>
  </w:abstractNum>
  <w:abstractNum w:abstractNumId="200">
    <w:nsid w:val="50ABCEC9"/>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201">
    <w:nsid w:val="7635AA2A"/>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202">
    <w:nsid w:val="5E74C4D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203">
    <w:nsid w:val="3B3EBE15"/>
    <w:multiLevelType w:val="hybridMultilevel"/>
    <w:lvl w:ilvl="0">
      <w:lvlJc w:val="left"/>
      <w:lvlText w:val="(%1)"/>
      <w:numFmt w:val="lowerRoman"/>
      <w:start w:val="4"/>
    </w:lvl>
  </w:abstractNum>
  <w:abstractNum w:abstractNumId="204">
    <w:nsid w:val="3822CB01"/>
    <w:multiLevelType w:val="hybridMultilevel"/>
    <w:lvl w:ilvl="0">
      <w:lvlJc w:val="left"/>
      <w:lvlText w:val="(%1)"/>
      <w:numFmt w:val="lowerLetter"/>
      <w:start w:val="3"/>
    </w:lvl>
    <w:lvl w:ilvl="1">
      <w:lvlJc w:val="left"/>
      <w:lvlText w:val="(%2)"/>
      <w:numFmt w:val="lowerRoman"/>
      <w:start w:val="1"/>
    </w:lvl>
  </w:abstractNum>
  <w:abstractNum w:abstractNumId="205">
    <w:nsid w:val="6CE00443"/>
    <w:multiLevelType w:val="hybridMultilevel"/>
    <w:lvl w:ilvl="0">
      <w:lvlJc w:val="left"/>
      <w:lvlText w:val="%1."/>
      <w:numFmt w:val="decimal"/>
      <w:start w:val="8"/>
    </w:lvl>
    <w:lvl w:ilvl="1">
      <w:lvlJc w:val="left"/>
      <w:lvlText w:val="(%2)"/>
      <w:numFmt w:val="lowerLetter"/>
      <w:start w:val="1"/>
    </w:lvl>
  </w:abstractNum>
  <w:abstractNum w:abstractNumId="206">
    <w:nsid w:val="79F0D62F"/>
    <w:multiLevelType w:val="hybridMultilevel"/>
    <w:lvl w:ilvl="0">
      <w:lvlJc w:val="left"/>
      <w:lvlText w:val="%1"/>
      <w:numFmt w:val="decimal"/>
      <w:start w:val="1"/>
    </w:lvl>
    <w:lvl w:ilvl="1">
      <w:lvlJc w:val="left"/>
      <w:lvlText w:val="(%2)"/>
      <w:numFmt w:val="lowerLetter"/>
      <w:start w:val="4"/>
    </w:lvl>
  </w:abstractNum>
  <w:abstractNum w:abstractNumId="207">
    <w:nsid w:val="7975E8EE"/>
    <w:multiLevelType w:val="hybridMultilevel"/>
    <w:lvl w:ilvl="0">
      <w:lvlJc w:val="left"/>
      <w:lvlText w:val="%1."/>
      <w:numFmt w:val="decimal"/>
      <w:start w:val="9"/>
    </w:lvl>
    <w:lvl w:ilvl="1">
      <w:lvlJc w:val="left"/>
      <w:lvlText w:val="(%2)"/>
      <w:numFmt w:val="lowerLetter"/>
      <w:start w:val="1"/>
    </w:lvl>
  </w:abstractNum>
  <w:abstractNum w:abstractNumId="208">
    <w:nsid w:val="73154115"/>
    <w:multiLevelType w:val="hybridMultilevel"/>
    <w:lvl w:ilvl="0">
      <w:lvlJc w:val="left"/>
      <w:lvlText w:val="(%1)"/>
      <w:numFmt w:val="lowerLetter"/>
      <w:start w:val="6"/>
    </w:lvl>
  </w:abstractNum>
  <w:abstractNum w:abstractNumId="209">
    <w:nsid w:val="622D8102"/>
    <w:multiLevelType w:val="hybridMultilevel"/>
    <w:lvl w:ilvl="0">
      <w:lvlJc w:val="left"/>
      <w:lvlText w:val="(%1)"/>
      <w:numFmt w:val="lowerLetter"/>
      <w:start w:val="11"/>
    </w:lvl>
  </w:abstractNum>
  <w:abstractNum w:abstractNumId="210">
    <w:nsid w:val="2AB26587"/>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211">
    <w:nsid w:val="44B3FA6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12">
    <w:nsid w:val="1C0CA67C"/>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213">
    <w:nsid w:val="3D206613"/>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214">
    <w:nsid w:val="7993B662"/>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215">
    <w:nsid w:val="3BAB699E"/>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216">
    <w:nsid w:val="71315369"/>
    <w:multiLevelType w:val="hybridMultilevel"/>
    <w:lvl w:ilvl="0">
      <w:lvlJc w:val="left"/>
      <w:lvlText w:val="%1"/>
      <w:numFmt w:val="lowerLetter"/>
      <w:start w:val="1"/>
    </w:lvl>
    <w:lvl w:ilvl="1">
      <w:lvlJc w:val="left"/>
      <w:lvlText w:val="(%2)"/>
      <w:numFmt w:val="lowerLetter"/>
      <w:start w:val="35"/>
    </w:lvl>
  </w:abstractNum>
  <w:abstractNum w:abstractNumId="217">
    <w:nsid w:val="7BCFBAFC"/>
    <w:multiLevelType w:val="hybridMultilevel"/>
    <w:lvl w:ilvl="0">
      <w:lvlJc w:val="left"/>
      <w:lvlText w:val="(%1)"/>
      <w:numFmt w:val="lowerLetter"/>
      <w:start w:val="5"/>
    </w:lvl>
    <w:lvl w:ilvl="1">
      <w:lvlJc w:val="left"/>
      <w:lvlText w:val="(%2)"/>
      <w:numFmt w:val="lowerLetter"/>
      <w:start w:val="9"/>
    </w:lvl>
  </w:abstractNum>
  <w:abstractNum w:abstractNumId="218">
    <w:nsid w:val="17859F72"/>
    <w:multiLevelType w:val="hybridMultilevel"/>
    <w:lvl w:ilvl="0">
      <w:lvlJc w:val="left"/>
      <w:lvlText w:val="(%1)"/>
      <w:numFmt w:val="lowerRoman"/>
      <w:start w:val="2"/>
    </w:lvl>
  </w:abstractNum>
  <w:abstractNum w:abstractNumId="219">
    <w:nsid w:val="3AA10581"/>
    <w:multiLevelType w:val="hybridMultilevel"/>
    <w:lvl w:ilvl="0">
      <w:lvlJc w:val="left"/>
      <w:lvlText w:val="%1."/>
      <w:numFmt w:val="decimal"/>
      <w:start w:val="12"/>
    </w:lvl>
  </w:abstractNum>
  <w:abstractNum w:abstractNumId="220">
    <w:nsid w:val="63DE60CD"/>
    <w:multiLevelType w:val="hybridMultilevel"/>
    <w:lvl w:ilvl="0">
      <w:lvlJc w:val="left"/>
      <w:lvlText w:val="%1."/>
      <w:numFmt w:val="decimal"/>
      <w:start w:val="13"/>
    </w:lvl>
  </w:abstractNum>
  <w:abstractNum w:abstractNumId="221">
    <w:nsid w:val="621AF471"/>
    <w:multiLevelType w:val="hybridMultilevel"/>
    <w:lvl w:ilvl="0">
      <w:lvlJc w:val="left"/>
      <w:lvlText w:val="%1."/>
      <w:numFmt w:val="decimal"/>
      <w:start w:val="14"/>
    </w:lvl>
    <w:lvl w:ilvl="1">
      <w:lvlJc w:val="left"/>
      <w:lvlText w:val="(%2)"/>
      <w:numFmt w:val="lowerLetter"/>
      <w:start w:val="1"/>
    </w:lvl>
  </w:abstractNum>
  <w:abstractNum w:abstractNumId="222">
    <w:nsid w:val="73CFE165"/>
    <w:multiLevelType w:val="hybridMultilevel"/>
    <w:lvl w:ilvl="0">
      <w:lvlJc w:val="left"/>
      <w:lvlText w:val="(%1)"/>
      <w:numFmt w:val="lowerLetter"/>
      <w:start w:val="7"/>
    </w:lvl>
  </w:abstractNum>
  <w:abstractNum w:abstractNumId="223">
    <w:nsid w:val="20F88EA6"/>
    <w:multiLevelType w:val="hybridMultilevel"/>
    <w:lvl w:ilvl="0">
      <w:lvlJc w:val="left"/>
      <w:lvlText w:val="(%1)"/>
      <w:numFmt w:val="lowerLetter"/>
      <w:start w:val="10"/>
    </w:lvl>
    <w:lvl w:ilvl="1">
      <w:lvlJc w:val="left"/>
      <w:lvlText w:val="(%2)"/>
      <w:numFmt w:val="lowerRoman"/>
      <w:start w:val="1"/>
    </w:lvl>
  </w:abstractNum>
  <w:abstractNum w:abstractNumId="224">
    <w:nsid w:val="617C843E"/>
    <w:multiLevelType w:val="hybridMultilevel"/>
    <w:lvl w:ilvl="0">
      <w:lvlJc w:val="left"/>
      <w:lvlText w:val="(%1)"/>
      <w:numFmt w:val="lowerRoman"/>
      <w:start w:val="5"/>
    </w:lvl>
  </w:abstractNum>
  <w:abstractNum w:abstractNumId="225">
    <w:nsid w:val="7B541FAB"/>
    <w:multiLevelType w:val="hybridMultilevel"/>
    <w:lvl w:ilvl="0">
      <w:lvlJc w:val="left"/>
      <w:lvlText w:val="(%1)"/>
      <w:numFmt w:val="lowerLetter"/>
      <w:start w:val="11"/>
    </w:lvl>
  </w:abstractNum>
  <w:abstractNum w:abstractNumId="226">
    <w:nsid w:val="2A79EC49"/>
    <w:multiLevelType w:val="hybridMultilevel"/>
    <w:lvl w:ilvl="0">
      <w:lvlJc w:val="left"/>
      <w:lvlText w:val="(%1)"/>
      <w:numFmt w:val="lowerLetter"/>
      <w:start w:val="12"/>
    </w:lvl>
  </w:abstractNum>
  <w:abstractNum w:abstractNumId="227">
    <w:nsid w:val="338125CF"/>
    <w:multiLevelType w:val="hybridMultilevel"/>
    <w:lvl w:ilvl="0">
      <w:lvlJc w:val="left"/>
      <w:lvlText w:val="(%1)"/>
      <w:numFmt w:val="lowerLetter"/>
      <w:start w:val="18"/>
    </w:lvl>
    <w:lvl w:ilvl="1">
      <w:lvlJc w:val="left"/>
      <w:lvlText w:val="(%2)"/>
      <w:numFmt w:val="lowerRoman"/>
      <w:start w:val="1"/>
    </w:lvl>
  </w:abstractNum>
  <w:abstractNum w:abstractNumId="228">
    <w:nsid w:val="47C7C971"/>
    <w:multiLevelType w:val="hybridMultilevel"/>
    <w:lvl w:ilvl="0">
      <w:lvlJc w:val="left"/>
      <w:lvlText w:val="(%1)"/>
      <w:numFmt w:val="lowerLetter"/>
      <w:start w:val="22"/>
    </w:lvl>
  </w:abstractNum>
  <w:abstractNum w:abstractNumId="229">
    <w:nsid w:val="46F8284B"/>
    <w:multiLevelType w:val="hybridMultilevel"/>
    <w:lvl w:ilvl="0">
      <w:lvlJc w:val="left"/>
      <w:lvlText w:val="(%1)"/>
      <w:numFmt w:val="lowerLetter"/>
      <w:start w:val="27"/>
    </w:lvl>
  </w:abstractNum>
  <w:abstractNum w:abstractNumId="230">
    <w:nsid w:val="4FA327CE"/>
    <w:multiLevelType w:val="hybridMultilevel"/>
    <w:lvl w:ilvl="0">
      <w:lvlJc w:val="left"/>
      <w:lvlText w:val="(%1)"/>
      <w:numFmt w:val="lowerLetter"/>
      <w:start w:val="30"/>
    </w:lvl>
  </w:abstractNum>
  <w:abstractNum w:abstractNumId="231">
    <w:nsid w:val="1873983A"/>
    <w:multiLevelType w:val="hybridMultilevel"/>
    <w:lvl w:ilvl="0">
      <w:lvlJc w:val="left"/>
      <w:lvlText w:val="(%1)"/>
      <w:numFmt w:val="lowerLetter"/>
      <w:start w:val="35"/>
    </w:lvl>
  </w:abstractNum>
  <w:abstractNum w:abstractNumId="232">
    <w:nsid w:val="3D2DD275"/>
    <w:multiLevelType w:val="hybridMultilevel"/>
    <w:lvl w:ilvl="0">
      <w:lvlJc w:val="left"/>
      <w:lvlText w:val="(%1)"/>
      <w:numFmt w:val="lowerLetter"/>
      <w:start w:val="45"/>
    </w:lvl>
  </w:abstractNum>
  <w:abstractNum w:abstractNumId="233">
    <w:nsid w:val="2E17ECA7"/>
    <w:multiLevelType w:val="hybridMultilevel"/>
    <w:lvl w:ilvl="0">
      <w:lvlJc w:val="left"/>
      <w:lvlText w:val="(%1)"/>
      <w:numFmt w:val="lowerLetter"/>
      <w:start w:val="53"/>
    </w:lvl>
  </w:abstractNum>
  <w:abstractNum w:abstractNumId="234">
    <w:nsid w:val="53B2564F"/>
    <w:multiLevelType w:val="hybridMultilevel"/>
    <w:lvl w:ilvl="0">
      <w:lvlJc w:val="left"/>
      <w:lvlText w:val="(%1)"/>
      <w:numFmt w:val="lowerLetter"/>
      <w:start w:val="55"/>
    </w:lvl>
  </w:abstractNum>
  <w:abstractNum w:abstractNumId="235">
    <w:nsid w:val="75509D76"/>
    <w:multiLevelType w:val="hybridMultilevel"/>
    <w:lvl w:ilvl="0">
      <w:lvlJc w:val="left"/>
      <w:lvlText w:val="(%1)"/>
      <w:numFmt w:val="lowerLetter"/>
      <w:start w:val="56"/>
    </w:lvl>
  </w:abstractNum>
  <w:abstractNum w:abstractNumId="236">
    <w:nsid w:val="1AF7F0EA"/>
    <w:multiLevelType w:val="hybridMultilevel"/>
    <w:lvl w:ilvl="0">
      <w:lvlJc w:val="left"/>
      <w:lvlText w:val="(%1)"/>
      <w:numFmt w:val="lowerLetter"/>
      <w:start w:val="66"/>
    </w:lvl>
  </w:abstractNum>
  <w:abstractNum w:abstractNumId="237">
    <w:nsid w:val="4DA32C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8">
    <w:nsid w:val="6EC68664"/>
    <w:multiLevelType w:val="hybridMultilevel"/>
    <w:lvl w:ilvl="0">
      <w:lvlJc w:val="left"/>
      <w:lvlText w:val="(%1)"/>
      <w:numFmt w:val="lowerLetter"/>
      <w:start w:val="3"/>
    </w:lvl>
  </w:abstractNum>
  <w:abstractNum w:abstractNumId="239">
    <w:nsid w:val="E0D31FF"/>
    <w:multiLevelType w:val="hybridMultilevel"/>
    <w:lvl w:ilvl="0">
      <w:lvlJc w:val="left"/>
      <w:lvlText w:val="%1"/>
      <w:numFmt w:val="decimal"/>
      <w:start w:val="1"/>
    </w:lvl>
    <w:lvl w:ilvl="1">
      <w:lvlJc w:val="left"/>
      <w:lvlText w:val="(%2)"/>
      <w:numFmt w:val="lowerLetter"/>
      <w:start w:val="4"/>
    </w:lvl>
  </w:abstractNum>
  <w:abstractNum w:abstractNumId="240">
    <w:nsid w:val="2FD0AD81"/>
    <w:multiLevelType w:val="hybridMultilevel"/>
    <w:lvl w:ilvl="0">
      <w:lvlJc w:val="left"/>
      <w:lvlText w:val="%1."/>
      <w:numFmt w:val="decimal"/>
      <w:start w:val="3"/>
    </w:lvl>
    <w:lvl w:ilvl="1">
      <w:lvlJc w:val="left"/>
      <w:lvlText w:val="(%2)"/>
      <w:numFmt w:val="lowerLetter"/>
      <w:start w:val="1"/>
    </w:lvl>
  </w:abstractNum>
  <w:abstractNum w:abstractNumId="241">
    <w:nsid w:val="1978EBEB"/>
    <w:multiLevelType w:val="hybridMultilevel"/>
    <w:lvl w:ilvl="0">
      <w:lvlJc w:val="left"/>
      <w:lvlText w:val="(%1)"/>
      <w:numFmt w:val="lowerLetter"/>
      <w:start w:val="6"/>
    </w:lvl>
  </w:abstractNum>
  <w:abstractNum w:abstractNumId="242">
    <w:nsid w:val="52C12C61"/>
    <w:multiLevelType w:val="hybridMultilevel"/>
    <w:lvl w:ilvl="0">
      <w:lvlJc w:val="left"/>
      <w:lvlText w:val="%1"/>
      <w:numFmt w:val="decimal"/>
      <w:start w:val="1"/>
    </w:lvl>
    <w:lvl w:ilvl="1">
      <w:lvlJc w:val="left"/>
      <w:lvlText w:val="(%2)"/>
      <w:numFmt w:val="lowerLetter"/>
      <w:start w:val="16"/>
    </w:lvl>
    <w:lvl w:ilvl="2">
      <w:lvlJc w:val="left"/>
      <w:lvlText w:val="%3"/>
      <w:numFmt w:val="lowerLetter"/>
      <w:start w:val="1"/>
    </w:lvl>
  </w:abstractNum>
  <w:abstractNum w:abstractNumId="243">
    <w:nsid w:val="4BDD53FD"/>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44">
    <w:nsid w:val="569951FE"/>
    <w:multiLevelType w:val="hybridMultilevel"/>
    <w:lvl w:ilvl="0">
      <w:lvlJc w:val="left"/>
      <w:lvlText w:val="%1"/>
      <w:numFmt w:val="lowerLetter"/>
      <w:start w:val="1"/>
    </w:lvl>
    <w:lvl w:ilvl="1">
      <w:lvlJc w:val="left"/>
      <w:lvlText w:val="(%2)"/>
      <w:numFmt w:val="lowerLetter"/>
      <w:start w:val="35"/>
    </w:lvl>
  </w:abstractNum>
  <w:abstractNum w:abstractNumId="245">
    <w:nsid w:val="4C54E2C3"/>
    <w:multiLevelType w:val="hybridMultilevel"/>
    <w:lvl w:ilvl="0">
      <w:lvlJc w:val="left"/>
      <w:lvlText w:val="(%1)"/>
      <w:numFmt w:val="lowerLetter"/>
      <w:start w:val="5"/>
    </w:lvl>
    <w:lvl w:ilvl="1">
      <w:lvlJc w:val="left"/>
      <w:lvlText w:val="%2"/>
      <w:numFmt w:val="lowerLetter"/>
      <w:start w:val="1"/>
    </w:lvl>
  </w:abstractNum>
  <w:abstractNum w:abstractNumId="246">
    <w:nsid w:val="788BD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2"/>
    </w:lvl>
  </w:abstractNum>
  <w:abstractNum w:abstractNumId="247">
    <w:nsid w:val="47CAA567"/>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48">
    <w:nsid w:val="48249DB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49">
    <w:nsid w:val="1F0E5D0D"/>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2"/>
    </w:lvl>
  </w:abstractNum>
  <w:abstractNum w:abstractNumId="250">
    <w:nsid w:val="26BAA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51">
    <w:nsid w:val="2C02FE8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2">
    <w:nsid w:val="12951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53">
    <w:nsid w:val="763B8C4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54">
    <w:nsid w:val="4CFB8D32"/>
    <w:multiLevelType w:val="hybridMultilevel"/>
    <w:lvl w:ilvl="0">
      <w:lvlJc w:val="left"/>
      <w:lvlText w:val="%1."/>
      <w:numFmt w:val="decimal"/>
      <w:start w:val="9"/>
    </w:lvl>
    <w:lvl w:ilvl="1">
      <w:lvlJc w:val="left"/>
      <w:lvlText w:val="(%2)"/>
      <w:numFmt w:val="lowerLetter"/>
      <w:start w:val="1"/>
    </w:lvl>
  </w:abstractNum>
  <w:abstractNum w:abstractNumId="255">
    <w:nsid w:val="62A5D5BD"/>
    <w:multiLevelType w:val="hybridMultilevel"/>
    <w:lvl w:ilvl="0">
      <w:lvlJc w:val="left"/>
      <w:lvlText w:val="(%1)"/>
      <w:numFmt w:val="lowerLetter"/>
      <w:start w:val="3"/>
    </w:lvl>
    <w:lvl w:ilvl="1">
      <w:lvlJc w:val="left"/>
      <w:lvlText w:val="(%2)"/>
      <w:numFmt w:val="lowerRoman"/>
      <w:start w:val="1"/>
    </w:lvl>
  </w:abstractNum>
  <w:abstractNum w:abstractNumId="256">
    <w:nsid w:val="718FABF9"/>
    <w:multiLevelType w:val="hybridMultilevel"/>
    <w:lvl w:ilvl="0">
      <w:lvlJc w:val="left"/>
      <w:lvlText w:val="(%1)"/>
      <w:numFmt w:val="lowerLetter"/>
      <w:start w:val="5"/>
    </w:lvl>
  </w:abstractNum>
  <w:abstractNum w:abstractNumId="257">
    <w:nsid w:val="7775797C"/>
    <w:multiLevelType w:val="hybridMultilevel"/>
    <w:lvl w:ilvl="0">
      <w:lvlJc w:val="left"/>
      <w:lvlText w:val="(%1)"/>
      <w:numFmt w:val="lowerLetter"/>
      <w:start w:val="10"/>
    </w:lvl>
  </w:abstractNum>
  <w:abstractNum w:abstractNumId="258">
    <w:nsid w:val="1626FB8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9">
    <w:nsid w:val="3957756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60">
    <w:nsid w:val="3E6DA1C7"/>
    <w:multiLevelType w:val="hybridMultilevel"/>
    <w:lvl w:ilvl="0">
      <w:lvlJc w:val="left"/>
      <w:lvlText w:val="%1"/>
      <w:numFmt w:val="decimal"/>
      <w:start w:val="1"/>
    </w:lvl>
    <w:lvl w:ilvl="1">
      <w:lvlJc w:val="left"/>
      <w:lvlText w:val="(%2)"/>
      <w:numFmt w:val="lowerLetter"/>
      <w:start w:val="3"/>
    </w:lvl>
  </w:abstractNum>
  <w:abstractNum w:abstractNumId="261">
    <w:nsid w:val="65CA235B"/>
    <w:multiLevelType w:val="hybridMultilevel"/>
    <w:lvl w:ilvl="0">
      <w:lvlJc w:val="left"/>
      <w:lvlText w:val="%1."/>
      <w:numFmt w:val="decimal"/>
      <w:start w:val="3"/>
    </w:lvl>
    <w:lvl w:ilvl="1">
      <w:lvlJc w:val="left"/>
      <w:lvlText w:val="(%2)"/>
      <w:numFmt w:val="lowerLetter"/>
      <w:start w:val="1"/>
    </w:lvl>
  </w:abstractNum>
  <w:abstractNum w:abstractNumId="262">
    <w:nsid w:val="51CB0DA4"/>
    <w:multiLevelType w:val="hybridMultilevel"/>
    <w:lvl w:ilvl="0">
      <w:lvlJc w:val="left"/>
      <w:lvlText w:val="(%1)"/>
      <w:numFmt w:val="lowerLetter"/>
      <w:start w:val="3"/>
    </w:lvl>
  </w:abstractNum>
  <w:abstractNum w:abstractNumId="263">
    <w:nsid w:val="7B9B743C"/>
    <w:multiLevelType w:val="hybridMultilevel"/>
    <w:lvl w:ilvl="0">
      <w:lvlJc w:val="left"/>
      <w:lvlText w:val="%1"/>
      <w:numFmt w:val="decimal"/>
      <w:start w:val="1"/>
    </w:lvl>
    <w:lvl w:ilvl="1">
      <w:lvlJc w:val="left"/>
      <w:lvlText w:val="(%2)"/>
      <w:numFmt w:val="lowerLetter"/>
      <w:start w:val="11"/>
    </w:lvl>
  </w:abstractNum>
  <w:abstractNum w:abstractNumId="264">
    <w:nsid w:val="13E21002"/>
    <w:multiLevelType w:val="hybridMultilevel"/>
    <w:lvl w:ilvl="0">
      <w:lvlJc w:val="left"/>
      <w:lvlText w:val="%1."/>
      <w:numFmt w:val="decimal"/>
      <w:start w:val="4"/>
    </w:lvl>
    <w:lvl w:ilvl="1">
      <w:lvlJc w:val="left"/>
      <w:lvlText w:val="(%2)"/>
      <w:numFmt w:val="lowerLetter"/>
      <w:start w:val="1"/>
    </w:lvl>
  </w:abstractNum>
  <w:abstractNum w:abstractNumId="265">
    <w:nsid w:val="257D63F4"/>
    <w:multiLevelType w:val="hybridMultilevel"/>
    <w:lvl w:ilvl="0">
      <w:lvlJc w:val="left"/>
      <w:lvlText w:val="(%1)"/>
      <w:numFmt w:val="lowerLetter"/>
      <w:start w:val="3"/>
    </w:lvl>
    <w:lvl w:ilvl="1">
      <w:lvlJc w:val="left"/>
      <w:lvlText w:val="(%2)"/>
      <w:numFmt w:val="lowerRoman"/>
      <w:start w:val="1"/>
    </w:lvl>
  </w:abstractNum>
  <w:abstractNum w:abstractNumId="266">
    <w:nsid w:val="70EC11B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267">
    <w:nsid w:val="2EDA00ED"/>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68">
    <w:nsid w:val="7320907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69">
    <w:nsid w:val="5FB29816"/>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270">
    <w:nsid w:val="3CE732EC"/>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271">
    <w:nsid w:val="22F13DF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72">
    <w:nsid w:val="792B84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3">
    <w:nsid w:val="FA85F4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74">
    <w:nsid w:val="6ECE91F0"/>
    <w:multiLevelType w:val="hybridMultilevel"/>
    <w:lvl w:ilvl="0">
      <w:lvlJc w:val="left"/>
      <w:lvlText w:val="%1."/>
      <w:numFmt w:val="decimal"/>
      <w:start w:val="9"/>
    </w:lvl>
    <w:lvl w:ilvl="1">
      <w:lvlJc w:val="left"/>
      <w:lvlText w:val="(%2)"/>
      <w:numFmt w:val="lowerLetter"/>
      <w:start w:val="1"/>
    </w:lvl>
  </w:abstractNum>
  <w:abstractNum w:abstractNumId="275">
    <w:nsid w:val="4FC4D600"/>
    <w:multiLevelType w:val="hybridMultilevel"/>
    <w:lvl w:ilvl="0">
      <w:lvlJc w:val="left"/>
      <w:lvlText w:val="(%1)"/>
      <w:numFmt w:val="lowerLetter"/>
      <w:start w:val="3"/>
    </w:lvl>
    <w:lvl w:ilvl="1">
      <w:lvlJc w:val="left"/>
      <w:lvlText w:val="(%2)"/>
      <w:numFmt w:val="lowerRoman"/>
      <w:start w:val="1"/>
    </w:lvl>
  </w:abstractNum>
  <w:abstractNum w:abstractNumId="276">
    <w:nsid w:val="5BFD4210"/>
    <w:multiLevelType w:val="hybridMultilevel"/>
    <w:lvl w:ilvl="0">
      <w:lvlJc w:val="left"/>
      <w:lvlText w:val="%1"/>
      <w:numFmt w:val="lowerLetter"/>
      <w:start w:val="1"/>
    </w:lvl>
    <w:lvl w:ilvl="1">
      <w:lvlJc w:val="left"/>
      <w:lvlText w:val="(%2)"/>
      <w:numFmt w:val="lowerLetter"/>
      <w:start w:val="61"/>
    </w:lvl>
  </w:abstractNum>
  <w:abstractNum w:abstractNumId="277">
    <w:nsid w:val="76574F8B"/>
    <w:multiLevelType w:val="hybridMultilevel"/>
    <w:lvl w:ilvl="0">
      <w:lvlJc w:val="left"/>
      <w:lvlText w:val="(%1)"/>
      <w:numFmt w:val="lowerLetter"/>
      <w:start w:val="4"/>
    </w:lvl>
    <w:lvl w:ilvl="1">
      <w:lvlJc w:val="left"/>
      <w:lvlText w:val="%2"/>
      <w:numFmt w:val="lowerLetter"/>
      <w:start w:val="1"/>
    </w:lvl>
  </w:abstractNum>
  <w:abstractNum w:abstractNumId="278">
    <w:nsid w:val="178F7B67"/>
    <w:multiLevelType w:val="hybridMultilevel"/>
    <w:lvl w:ilvl="0">
      <w:lvlJc w:val="left"/>
      <w:lvlText w:val="(%1)"/>
      <w:numFmt w:val="lowerLetter"/>
      <w:start w:val="10"/>
    </w:lvl>
  </w:abstractNum>
  <w:abstractNum w:abstractNumId="279">
    <w:nsid w:val="2421DFC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0">
    <w:nsid w:val="1565AC99"/>
    <w:multiLevelType w:val="hybridMultilevel"/>
    <w:lvl w:ilvl="0">
      <w:lvlJc w:val="left"/>
      <w:lvlText w:val="(%1)"/>
      <w:numFmt w:val="lowerLetter"/>
      <w:start w:val="3"/>
    </w:lvl>
  </w:abstractNum>
  <w:abstractNum w:abstractNumId="281">
    <w:nsid w:val="19FB2650"/>
    <w:multiLevelType w:val="hybridMultilevel"/>
    <w:lvl w:ilvl="0">
      <w:lvlJc w:val="left"/>
      <w:lvlText w:val="%1"/>
      <w:numFmt w:val="decimal"/>
      <w:start w:val="1"/>
    </w:lvl>
    <w:lvl w:ilvl="1">
      <w:lvlJc w:val="left"/>
      <w:lvlText w:val="(%2)"/>
      <w:numFmt w:val="lowerLetter"/>
      <w:start w:val="4"/>
    </w:lvl>
  </w:abstractNum>
  <w:abstractNum w:abstractNumId="282">
    <w:nsid w:val="5024DE5B"/>
    <w:multiLevelType w:val="hybridMultilevel"/>
    <w:lvl w:ilvl="0">
      <w:lvlJc w:val="left"/>
      <w:lvlText w:val="%1."/>
      <w:numFmt w:val="decimal"/>
      <w:start w:val="3"/>
    </w:lvl>
    <w:lvl w:ilvl="1">
      <w:lvlJc w:val="left"/>
      <w:lvlText w:val="(%2)"/>
      <w:numFmt w:val="lowerLetter"/>
      <w:start w:val="1"/>
    </w:lvl>
  </w:abstractNum>
  <w:abstractNum w:abstractNumId="283">
    <w:nsid w:val="168EFE17"/>
    <w:multiLevelType w:val="hybridMultilevel"/>
    <w:lvl w:ilvl="0">
      <w:lvlJc w:val="left"/>
      <w:lvlText w:val="(%1)"/>
      <w:numFmt w:val="lowerLetter"/>
      <w:start w:val="6"/>
    </w:lvl>
  </w:abstractNum>
  <w:abstractNum w:abstractNumId="284">
    <w:nsid w:val="1036B29F"/>
    <w:multiLevelType w:val="hybridMultilevel"/>
    <w:lvl w:ilvl="0">
      <w:lvlJc w:val="left"/>
      <w:lvlText w:val="%1"/>
      <w:numFmt w:val="decimal"/>
      <w:start w:val="1"/>
    </w:lvl>
    <w:lvl w:ilvl="1">
      <w:lvlJc w:val="left"/>
      <w:lvlText w:val="(%2)"/>
      <w:numFmt w:val="lowerLetter"/>
      <w:start w:val="16"/>
    </w:lvl>
    <w:lvl w:ilvl="2">
      <w:lvlJc w:val="left"/>
      <w:lvlText w:val="%3"/>
      <w:numFmt w:val="lowerLetter"/>
      <w:start w:val="1"/>
    </w:lvl>
  </w:abstractNum>
  <w:abstractNum w:abstractNumId="285">
    <w:nsid w:val="1D206B8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86">
    <w:nsid w:val="7934D3D4"/>
    <w:multiLevelType w:val="hybridMultilevel"/>
    <w:lvl w:ilvl="0">
      <w:lvlJc w:val="left"/>
      <w:lvlText w:val="%1"/>
      <w:numFmt w:val="lowerLetter"/>
      <w:start w:val="1"/>
    </w:lvl>
    <w:lvl w:ilvl="1">
      <w:lvlJc w:val="left"/>
      <w:lvlText w:val="(%2)"/>
      <w:numFmt w:val="lowerLetter"/>
      <w:start w:val="35"/>
    </w:lvl>
  </w:abstractNum>
  <w:abstractNum w:abstractNumId="287">
    <w:nsid w:val="1C65E98"/>
    <w:multiLevelType w:val="hybridMultilevel"/>
    <w:lvl w:ilvl="0">
      <w:lvlJc w:val="left"/>
      <w:lvlText w:val="(%1)"/>
      <w:numFmt w:val="lowerLetter"/>
      <w:start w:val="5"/>
    </w:lvl>
    <w:lvl w:ilvl="1">
      <w:lvlJc w:val="left"/>
      <w:lvlText w:val="%2"/>
      <w:numFmt w:val="lowerLetter"/>
      <w:start w:val="1"/>
    </w:lvl>
  </w:abstractNum>
  <w:abstractNum w:abstractNumId="288">
    <w:nsid w:val="1495E50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2"/>
    </w:lvl>
  </w:abstractNum>
  <w:abstractNum w:abstractNumId="289">
    <w:nsid w:val="F5BCF61"/>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90">
    <w:nsid w:val="3B1DD40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91">
    <w:nsid w:val="530386D1"/>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2"/>
    </w:lvl>
  </w:abstractNum>
  <w:abstractNum w:abstractNumId="292">
    <w:nsid w:val="7525F2B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93">
    <w:nsid w:val="CE8E1A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94">
    <w:nsid w:val="4E9EFB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95">
    <w:nsid w:val="90802B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96">
    <w:nsid w:val="3266459B"/>
    <w:multiLevelType w:val="hybridMultilevel"/>
    <w:lvl w:ilvl="0">
      <w:lvlJc w:val="left"/>
      <w:lvlText w:val="%1."/>
      <w:numFmt w:val="decimal"/>
      <w:start w:val="9"/>
    </w:lvl>
    <w:lvl w:ilvl="1">
      <w:lvlJc w:val="left"/>
      <w:lvlText w:val="(%2)"/>
      <w:numFmt w:val="lowerLetter"/>
      <w:start w:val="1"/>
    </w:lvl>
  </w:abstractNum>
  <w:abstractNum w:abstractNumId="297">
    <w:nsid w:val="3F8B0CBF"/>
    <w:multiLevelType w:val="hybridMultilevel"/>
    <w:lvl w:ilvl="0">
      <w:lvlJc w:val="left"/>
      <w:lvlText w:val="(%1)"/>
      <w:numFmt w:val="lowerLetter"/>
      <w:start w:val="3"/>
    </w:lvl>
    <w:lvl w:ilvl="1">
      <w:lvlJc w:val="left"/>
      <w:lvlText w:val="(%2)"/>
      <w:numFmt w:val="lowerRoman"/>
      <w:start w:val="1"/>
    </w:lvl>
  </w:abstractNum>
  <w:abstractNum w:abstractNumId="298">
    <w:nsid w:val="37E203AB"/>
    <w:multiLevelType w:val="hybridMultilevel"/>
    <w:lvl w:ilvl="0">
      <w:lvlJc w:val="left"/>
      <w:lvlText w:val="(%1)"/>
      <w:numFmt w:val="lowerLetter"/>
      <w:start w:val="5"/>
    </w:lvl>
  </w:abstractNum>
  <w:abstractNum w:abstractNumId="299">
    <w:nsid w:val="2586D60E"/>
    <w:multiLevelType w:val="hybridMultilevel"/>
    <w:lvl w:ilvl="0">
      <w:lvlJc w:val="left"/>
      <w:lvlText w:val="(%1)"/>
      <w:numFmt w:val="lowerLetter"/>
      <w:start w:val="10"/>
    </w:lvl>
  </w:abstractNum>
  <w:abstractNum w:abstractNumId="300">
    <w:nsid w:val="1F3DA4D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01">
    <w:nsid w:val="74C93698"/>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302">
    <w:nsid w:val="48781401"/>
    <w:multiLevelType w:val="hybridMultilevel"/>
    <w:lvl w:ilvl="0">
      <w:lvlJc w:val="left"/>
      <w:lvlText w:val="(%1)"/>
      <w:numFmt w:val="lowerLetter"/>
      <w:start w:val="3"/>
    </w:lvl>
  </w:abstractNum>
  <w:abstractNum w:abstractNumId="303">
    <w:nsid w:val="186928D6"/>
    <w:multiLevelType w:val="hybridMultilevel"/>
    <w:lvl w:ilvl="0">
      <w:lvlJc w:val="left"/>
      <w:lvlText w:val="%1"/>
      <w:numFmt w:val="decimal"/>
      <w:start w:val="1"/>
    </w:lvl>
    <w:lvl w:ilvl="1">
      <w:lvlJc w:val="left"/>
      <w:lvlText w:val="(%2)"/>
      <w:numFmt w:val="lowerLetter"/>
      <w:start w:val="4"/>
    </w:lvl>
  </w:abstractNum>
  <w:abstractNum w:abstractNumId="304">
    <w:nsid w:val="47195E5"/>
    <w:multiLevelType w:val="hybridMultilevel"/>
    <w:lvl w:ilvl="0">
      <w:lvlJc w:val="left"/>
      <w:lvlText w:val="%1."/>
      <w:numFmt w:val="decimal"/>
      <w:start w:val="3"/>
    </w:lvl>
    <w:lvl w:ilvl="1">
      <w:lvlJc w:val="left"/>
      <w:lvlText w:val="(%2)"/>
      <w:numFmt w:val="lowerLetter"/>
      <w:start w:val="1"/>
    </w:lvl>
  </w:abstractNum>
  <w:abstractNum w:abstractNumId="305">
    <w:nsid w:val="3746A5F2"/>
    <w:multiLevelType w:val="hybridMultilevel"/>
    <w:lvl w:ilvl="0">
      <w:lvlJc w:val="left"/>
      <w:lvlText w:val="(%1)"/>
      <w:numFmt w:val="lowerLetter"/>
      <w:start w:val="6"/>
    </w:lvl>
  </w:abstractNum>
  <w:abstractNum w:abstractNumId="306">
    <w:nsid w:val="682DFED6"/>
    <w:multiLevelType w:val="hybridMultilevel"/>
    <w:lvl w:ilvl="0">
      <w:lvlJc w:val="left"/>
      <w:lvlText w:val="%1"/>
      <w:numFmt w:val="decimal"/>
      <w:start w:val="1"/>
    </w:lvl>
    <w:lvl w:ilvl="1">
      <w:lvlJc w:val="left"/>
      <w:lvlText w:val="(%2)"/>
      <w:numFmt w:val="lowerLetter"/>
      <w:start w:val="16"/>
    </w:lvl>
    <w:lvl w:ilvl="2">
      <w:lvlJc w:val="left"/>
      <w:lvlText w:val="%3"/>
      <w:numFmt w:val="lowerLetter"/>
      <w:start w:val="1"/>
    </w:lvl>
  </w:abstractNum>
  <w:abstractNum w:abstractNumId="307">
    <w:nsid w:val="606ED7F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08">
    <w:nsid w:val="2D9DF57D"/>
    <w:multiLevelType w:val="hybridMultilevel"/>
    <w:lvl w:ilvl="0">
      <w:lvlJc w:val="left"/>
      <w:lvlText w:val="(%1)"/>
      <w:numFmt w:val="lowerRoman"/>
      <w:start w:val="2"/>
    </w:lvl>
  </w:abstractNum>
  <w:abstractNum w:abstractNumId="309">
    <w:nsid w:val="7FBD7A3E"/>
    <w:multiLevelType w:val="hybridMultilevel"/>
    <w:lvl w:ilvl="0">
      <w:lvlJc w:val="left"/>
      <w:lvlText w:val="(%1)"/>
      <w:numFmt w:val="lowerLetter"/>
      <w:start w:val="5"/>
    </w:lvl>
  </w:abstractNum>
  <w:abstractNum w:abstractNumId="310">
    <w:nsid w:val="490B7C5"/>
    <w:multiLevelType w:val="hybridMultilevel"/>
    <w:lvl w:ilvl="0">
      <w:lvlJc w:val="left"/>
      <w:lvlText w:val="%1"/>
      <w:numFmt w:val="decimal"/>
      <w:start w:val="1"/>
    </w:lvl>
    <w:lvl w:ilvl="1">
      <w:lvlJc w:val="left"/>
      <w:lvlText w:val="(%2)"/>
      <w:numFmt w:val="lowerLetter"/>
      <w:start w:val="12"/>
    </w:lvl>
  </w:abstractNum>
  <w:abstractNum w:abstractNumId="311">
    <w:nsid w:val="4303A216"/>
    <w:multiLevelType w:val="hybridMultilevel"/>
    <w:lvl w:ilvl="0">
      <w:lvlJc w:val="left"/>
      <w:lvlText w:val="%1."/>
      <w:numFmt w:val="decimal"/>
      <w:start w:val="5"/>
    </w:lvl>
    <w:lvl w:ilvl="1">
      <w:lvlJc w:val="left"/>
      <w:lvlText w:val="(%2)"/>
      <w:numFmt w:val="lowerLetter"/>
      <w:start w:val="1"/>
    </w:lvl>
  </w:abstractNum>
  <w:abstractNum w:abstractNumId="312">
    <w:nsid w:val="19B8A08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13">
    <w:nsid w:val="54B59621"/>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abstractNum>
  <w:abstractNum w:abstractNumId="314">
    <w:nsid w:val="5992A02E"/>
    <w:multiLevelType w:val="hybridMultilevel"/>
    <w:lvl w:ilvl="0">
      <w:lvlJc w:val="left"/>
      <w:lvlText w:val="%1."/>
      <w:numFmt w:val="decimal"/>
      <w:start w:val="8"/>
    </w:lvl>
    <w:lvl w:ilvl="1">
      <w:lvlJc w:val="left"/>
      <w:lvlText w:val="%2"/>
      <w:numFmt w:val="lowerRoman"/>
      <w:start w:val="1"/>
    </w:lvl>
    <w:lvl w:ilvl="2">
      <w:lvlJc w:val="left"/>
      <w:lvlText w:val="(%3)"/>
      <w:numFmt w:val="lowerLetter"/>
      <w:start w:val="1"/>
    </w:lvl>
  </w:abstractNum>
  <w:abstractNum w:abstractNumId="315">
    <w:nsid w:val="29EF532D"/>
    <w:multiLevelType w:val="hybridMultilevel"/>
    <w:lvl w:ilvl="0">
      <w:lvlJc w:val="left"/>
      <w:lvlText w:val="%1."/>
      <w:numFmt w:val="decimal"/>
      <w:start w:val="9"/>
    </w:lvl>
    <w:lvl w:ilvl="1">
      <w:lvlJc w:val="left"/>
      <w:lvlText w:val="(%2)"/>
      <w:numFmt w:val="lowerLetter"/>
      <w:start w:val="1"/>
    </w:lvl>
  </w:abstractNum>
  <w:abstractNum w:abstractNumId="316">
    <w:nsid w:val="71D601AF"/>
    <w:multiLevelType w:val="hybridMultilevel"/>
    <w:lvl w:ilvl="0">
      <w:lvlJc w:val="left"/>
      <w:lvlText w:val="(%1)"/>
      <w:numFmt w:val="lowerLetter"/>
      <w:start w:val="2"/>
    </w:lvl>
  </w:abstractNum>
  <w:abstractNum w:abstractNumId="317">
    <w:nsid w:val="52C77402"/>
    <w:multiLevelType w:val="hybridMultilevel"/>
    <w:lvl w:ilvl="0">
      <w:lvlJc w:val="left"/>
      <w:lvlText w:val="(%1)"/>
      <w:numFmt w:val="lowerLetter"/>
      <w:start w:val="3"/>
    </w:lvl>
    <w:lvl w:ilvl="1">
      <w:lvlJc w:val="left"/>
      <w:lvlText w:val="(%2)"/>
      <w:numFmt w:val="lowerRoman"/>
      <w:start w:val="1"/>
    </w:lvl>
  </w:abstractNum>
  <w:abstractNum w:abstractNumId="318">
    <w:nsid w:val="2BB5B1C6"/>
    <w:multiLevelType w:val="hybridMultilevel"/>
    <w:lvl w:ilvl="0">
      <w:lvlJc w:val="left"/>
      <w:lvlText w:val="(%1)"/>
      <w:numFmt w:val="lowerLetter"/>
      <w:start w:val="4"/>
    </w:lvl>
  </w:abstractNum>
  <w:abstractNum w:abstractNumId="319">
    <w:nsid w:val="66BE6B9"/>
    <w:multiLevelType w:val="hybridMultilevel"/>
    <w:lvl w:ilvl="0">
      <w:lvlJc w:val="left"/>
      <w:lvlText w:val="(%1)"/>
      <w:numFmt w:val="lowerLetter"/>
      <w:start w:val="10"/>
    </w:lvl>
  </w:abstractNum>
  <w:abstractNum w:abstractNumId="320">
    <w:nsid w:val="622343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1">
    <w:nsid w:val="66D385C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22">
    <w:nsid w:val="596F6D8A"/>
    <w:multiLevelType w:val="hybridMultilevel"/>
    <w:lvl w:ilvl="0">
      <w:lvlJc w:val="left"/>
      <w:lvlText w:val="%1"/>
      <w:numFmt w:val="decimal"/>
      <w:start w:val="1"/>
    </w:lvl>
    <w:lvl w:ilvl="1">
      <w:lvlJc w:val="left"/>
      <w:lvlText w:val="(%2)"/>
      <w:numFmt w:val="lowerLetter"/>
      <w:start w:val="3"/>
    </w:lvl>
  </w:abstractNum>
  <w:abstractNum w:abstractNumId="323">
    <w:nsid w:val="5749361F"/>
    <w:multiLevelType w:val="hybridMultilevel"/>
    <w:lvl w:ilvl="0">
      <w:lvlJc w:val="left"/>
      <w:lvlText w:val="%1."/>
      <w:numFmt w:val="decimal"/>
      <w:start w:val="3"/>
    </w:lvl>
    <w:lvl w:ilvl="1">
      <w:lvlJc w:val="left"/>
      <w:lvlText w:val="(%2)"/>
      <w:numFmt w:val="lowerLetter"/>
      <w:start w:val="1"/>
    </w:lvl>
  </w:abstractNum>
  <w:abstractNum w:abstractNumId="324">
    <w:nsid w:val="73BC6770"/>
    <w:multiLevelType w:val="hybridMultilevel"/>
    <w:lvl w:ilvl="0">
      <w:lvlJc w:val="left"/>
      <w:lvlText w:val="(%1)"/>
      <w:numFmt w:val="lowerLetter"/>
      <w:start w:val="3"/>
    </w:lvl>
  </w:abstractNum>
  <w:abstractNum w:abstractNumId="325">
    <w:nsid w:val="280E6897"/>
    <w:multiLevelType w:val="hybridMultilevel"/>
    <w:lvl w:ilvl="0">
      <w:lvlJc w:val="left"/>
      <w:lvlText w:val="%1"/>
      <w:numFmt w:val="decimal"/>
      <w:start w:val="1"/>
    </w:lvl>
    <w:lvl w:ilvl="1">
      <w:lvlJc w:val="left"/>
      <w:lvlText w:val="(%2)"/>
      <w:numFmt w:val="lowerLetter"/>
      <w:start w:val="11"/>
    </w:lvl>
  </w:abstractNum>
  <w:abstractNum w:abstractNumId="326">
    <w:nsid w:val="605138DE"/>
    <w:multiLevelType w:val="hybridMultilevel"/>
    <w:lvl w:ilvl="0">
      <w:lvlJc w:val="left"/>
      <w:lvlText w:val="%1."/>
      <w:numFmt w:val="decimal"/>
      <w:start w:val="4"/>
    </w:lvl>
    <w:lvl w:ilvl="1">
      <w:lvlJc w:val="left"/>
      <w:lvlText w:val="(%2)"/>
      <w:numFmt w:val="lowerLetter"/>
      <w:start w:val="1"/>
    </w:lvl>
  </w:abstractNum>
  <w:abstractNum w:abstractNumId="327">
    <w:nsid w:val="2622AD0C"/>
    <w:multiLevelType w:val="hybridMultilevel"/>
    <w:lvl w:ilvl="0">
      <w:lvlJc w:val="left"/>
      <w:lvlText w:val="(%1)"/>
      <w:numFmt w:val="lowerLetter"/>
      <w:start w:val="3"/>
    </w:lvl>
    <w:lvl w:ilvl="1">
      <w:lvlJc w:val="left"/>
      <w:lvlText w:val="(%2)"/>
      <w:numFmt w:val="lowerRoman"/>
      <w:start w:val="1"/>
    </w:lvl>
  </w:abstractNum>
  <w:abstractNum w:abstractNumId="328">
    <w:nsid w:val="6799755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329">
    <w:nsid w:val="18333C89"/>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30">
    <w:nsid w:val="4BA9831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31">
    <w:nsid w:val="6D71A2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332">
    <w:nsid w:val="CFC7321"/>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333">
    <w:nsid w:val="1421971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34">
    <w:nsid w:val="1F4043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5">
    <w:nsid w:val="116E090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36">
    <w:nsid w:val="4B683D0D"/>
    <w:multiLevelType w:val="hybridMultilevel"/>
    <w:lvl w:ilvl="0">
      <w:lvlJc w:val="left"/>
      <w:lvlText w:val="%1."/>
      <w:numFmt w:val="decimal"/>
      <w:start w:val="9"/>
    </w:lvl>
    <w:lvl w:ilvl="1">
      <w:lvlJc w:val="left"/>
      <w:lvlText w:val="(%2)"/>
      <w:numFmt w:val="lowerLetter"/>
      <w:start w:val="1"/>
    </w:lvl>
  </w:abstractNum>
  <w:abstractNum w:abstractNumId="337">
    <w:nsid w:val="76E41D8"/>
    <w:multiLevelType w:val="hybridMultilevel"/>
    <w:lvl w:ilvl="0">
      <w:lvlJc w:val="left"/>
      <w:lvlText w:val="(%1)"/>
      <w:numFmt w:val="lowerLetter"/>
      <w:start w:val="3"/>
    </w:lvl>
    <w:lvl w:ilvl="1">
      <w:lvlJc w:val="left"/>
      <w:lvlText w:val="(%2)"/>
      <w:numFmt w:val="lowerRoman"/>
      <w:start w:val="1"/>
    </w:lvl>
  </w:abstractNum>
  <w:abstractNum w:abstractNumId="338">
    <w:nsid w:val="71DCE0FD"/>
    <w:multiLevelType w:val="hybridMultilevel"/>
    <w:lvl w:ilvl="0">
      <w:lvlJc w:val="left"/>
      <w:lvlText w:val="%1"/>
      <w:numFmt w:val="lowerLetter"/>
      <w:start w:val="1"/>
    </w:lvl>
    <w:lvl w:ilvl="1">
      <w:lvlJc w:val="left"/>
      <w:lvlText w:val="(%2)"/>
      <w:numFmt w:val="lowerLetter"/>
      <w:start w:val="61"/>
    </w:lvl>
  </w:abstractNum>
  <w:abstractNum w:abstractNumId="339">
    <w:nsid w:val="7906328B"/>
    <w:multiLevelType w:val="hybridMultilevel"/>
    <w:lvl w:ilvl="0">
      <w:lvlJc w:val="left"/>
      <w:lvlText w:val="(%1)"/>
      <w:numFmt w:val="lowerLetter"/>
      <w:start w:val="4"/>
    </w:lvl>
    <w:lvl w:ilvl="1">
      <w:lvlJc w:val="left"/>
      <w:lvlText w:val="%2"/>
      <w:numFmt w:val="lowerLetter"/>
      <w:start w:val="1"/>
    </w:lvl>
  </w:abstractNum>
  <w:abstractNum w:abstractNumId="340">
    <w:nsid w:val="72BBC16"/>
    <w:multiLevelType w:val="hybridMultilevel"/>
    <w:lvl w:ilvl="0">
      <w:lvlJc w:val="left"/>
      <w:lvlText w:val="(%1)"/>
      <w:numFmt w:val="lowerLetter"/>
      <w:start w:val="10"/>
    </w:lvl>
  </w:abstractNum>
  <w:abstractNum w:abstractNumId="341">
    <w:nsid w:val="766D98C2"/>
    <w:multiLevelType w:val="hybridMultilevel"/>
    <w:lvl w:ilvl="0">
      <w:lvlJc w:val="left"/>
      <w:lvlText w:val="%1."/>
      <w:numFmt w:val="decimal"/>
      <w:start w:val="1"/>
    </w:lvl>
  </w:abstractNum>
  <w:abstractNum w:abstractNumId="342">
    <w:nsid w:val="3C09D4A1"/>
    <w:multiLevelType w:val="hybridMultilevel"/>
    <w:lvl w:ilvl="0">
      <w:lvlJc w:val="left"/>
      <w:lvlText w:val="%1."/>
      <w:numFmt w:val="decimal"/>
      <w:start w:val="2"/>
    </w:lvl>
  </w:abstractNum>
  <w:abstractNum w:abstractNumId="343">
    <w:nsid w:val="20E45CA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44">
    <w:nsid w:val="4B232EE3"/>
    <w:multiLevelType w:val="hybridMultilevel"/>
    <w:lvl w:ilvl="0">
      <w:lvlJc w:val="left"/>
      <w:lvlText w:val="%1"/>
      <w:numFmt w:val="decimal"/>
      <w:start w:val="1"/>
    </w:lvl>
    <w:lvl w:ilvl="1">
      <w:lvlJc w:val="left"/>
      <w:lvlText w:val="(%2)"/>
      <w:numFmt w:val="lowerLetter"/>
      <w:start w:val="4"/>
    </w:lvl>
  </w:abstractNum>
  <w:abstractNum w:abstractNumId="345">
    <w:nsid w:val="159C74CF"/>
    <w:multiLevelType w:val="hybridMultilevel"/>
    <w:lvl w:ilvl="0">
      <w:lvlJc w:val="left"/>
      <w:lvlText w:val="%1."/>
      <w:numFmt w:val="decimal"/>
      <w:start w:val="7"/>
    </w:lvl>
    <w:lvl w:ilvl="1">
      <w:lvlJc w:val="left"/>
      <w:lvlText w:val="(%2)"/>
      <w:numFmt w:val="lowerLetter"/>
      <w:start w:val="1"/>
    </w:lvl>
  </w:abstractNum>
  <w:abstractNum w:abstractNumId="346">
    <w:nsid w:val="4AD3AFD2"/>
    <w:multiLevelType w:val="hybridMultilevel"/>
    <w:lvl w:ilvl="0">
      <w:lvlJc w:val="left"/>
      <w:lvlText w:val="%1."/>
      <w:numFmt w:val="decimal"/>
      <w:start w:val="9"/>
    </w:lvl>
  </w:abstractNum>
  <w:abstractNum w:abstractNumId="347">
    <w:nsid w:val="3CF93092"/>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348">
    <w:nsid w:val="6863E8D2"/>
    <w:multiLevelType w:val="hybridMultilevel"/>
    <w:lvl w:ilvl="0">
      <w:lvlJc w:val="left"/>
      <w:lvlText w:val="(%1)"/>
      <w:numFmt w:val="lowerLetter"/>
      <w:start w:val="35"/>
    </w:lvl>
    <w:lvl w:ilvl="1">
      <w:lvlJc w:val="left"/>
      <w:lvlText w:val="%2."/>
      <w:numFmt w:val="decimal"/>
      <w:start w:val="11"/>
    </w:lvl>
    <w:lvl w:ilvl="2">
      <w:lvlJc w:val="left"/>
      <w:lvlText w:val="(%3)"/>
      <w:numFmt w:val="lowerLetter"/>
      <w:start w:val="1"/>
    </w:lvl>
  </w:abstractNum>
  <w:abstractNum w:abstractNumId="349">
    <w:nsid w:val="76896198"/>
    <w:multiLevelType w:val="hybridMultilevel"/>
    <w:lvl w:ilvl="0">
      <w:lvlJc w:val="left"/>
      <w:lvlText w:val="%1"/>
      <w:numFmt w:val="decimal"/>
      <w:start w:val="1"/>
    </w:lvl>
    <w:lvl w:ilvl="1">
      <w:lvlJc w:val="left"/>
      <w:lvlText w:val="(%2)"/>
      <w:numFmt w:val="lowerLetter"/>
      <w:start w:val="2"/>
    </w:lvl>
  </w:abstractNum>
  <w:abstractNum w:abstractNumId="350">
    <w:nsid w:val="4365174B"/>
    <w:multiLevelType w:val="hybridMultilevel"/>
    <w:lvl w:ilvl="0">
      <w:lvlJc w:val="left"/>
      <w:lvlText w:val="%1."/>
      <w:numFmt w:val="decimal"/>
      <w:start w:val="13"/>
    </w:lvl>
    <w:lvl w:ilvl="1">
      <w:lvlJc w:val="left"/>
      <w:lvlText w:val="%2"/>
      <w:numFmt w:val="lowerLetter"/>
      <w:start w:val="1"/>
    </w:lvl>
  </w:abstractNum>
  <w:abstractNum w:abstractNumId="351">
    <w:nsid w:val="4A872C35"/>
    <w:multiLevelType w:val="hybridMultilevel"/>
    <w:lvl w:ilvl="0">
      <w:lvlJc w:val="left"/>
      <w:lvlText w:val="%1."/>
      <w:numFmt w:val="decimal"/>
      <w:start w:val="1"/>
    </w:lvl>
  </w:abstractNum>
  <w:abstractNum w:abstractNumId="352">
    <w:nsid w:val="5D5CE761"/>
    <w:multiLevelType w:val="hybridMultilevel"/>
    <w:lvl w:ilvl="0">
      <w:lvlJc w:val="left"/>
      <w:lvlText w:val="%1."/>
      <w:numFmt w:val="decimal"/>
      <w:start w:val="2"/>
    </w:lvl>
    <w:lvl w:ilvl="1">
      <w:lvlJc w:val="left"/>
      <w:lvlText w:val="(%2)"/>
      <w:numFmt w:val="lowerLetter"/>
      <w:start w:val="1"/>
    </w:lvl>
  </w:abstractNum>
  <w:abstractNum w:abstractNumId="353">
    <w:nsid w:val="1CD484D5"/>
    <w:multiLevelType w:val="hybridMultilevel"/>
    <w:lvl w:ilvl="0">
      <w:lvlJc w:val="left"/>
      <w:lvlText w:val="%1"/>
      <w:numFmt w:val="lowerRoman"/>
      <w:start w:val="1"/>
    </w:lvl>
    <w:lvl w:ilvl="1">
      <w:lvlJc w:val="left"/>
      <w:lvlText w:val="%2."/>
      <w:numFmt w:val="decimal"/>
      <w:start w:val="5"/>
    </w:lvl>
  </w:abstractNum>
  <w:abstractNum w:abstractNumId="354">
    <w:nsid w:val="21D06255"/>
    <w:multiLevelType w:val="hybridMultilevel"/>
    <w:lvl w:ilvl="0">
      <w:lvlJc w:val="left"/>
      <w:lvlText w:val="(%1)"/>
      <w:numFmt w:val="lowerRoman"/>
      <w:start w:val="2"/>
    </w:lvl>
    <w:lvl w:ilvl="1">
      <w:lvlJc w:val="left"/>
      <w:lvlText w:val="%2."/>
      <w:numFmt w:val="decimal"/>
      <w:start w:val="6"/>
    </w:lvl>
  </w:abstractNum>
  <w:abstractNum w:abstractNumId="355">
    <w:nsid w:val="51194ED1"/>
    <w:multiLevelType w:val="hybridMultilevel"/>
    <w:lvl w:ilvl="0">
      <w:lvlJc w:val="left"/>
      <w:lvlText w:val="%1."/>
      <w:numFmt w:val="decimal"/>
      <w:start w:val="7"/>
    </w:lvl>
    <w:lvl w:ilvl="1">
      <w:lvlJc w:val="left"/>
      <w:lvlText w:val="(%2)"/>
      <w:numFmt w:val="lowerLetter"/>
      <w:start w:val="1"/>
    </w:lvl>
  </w:abstractNum>
  <w:abstractNum w:abstractNumId="356">
    <w:nsid w:val="44E2ED6C"/>
    <w:multiLevelType w:val="hybridMultilevel"/>
    <w:lvl w:ilvl="0">
      <w:lvlJc w:val="left"/>
      <w:lvlText w:val="%1."/>
      <w:numFmt w:val="decimal"/>
      <w:start w:val="9"/>
    </w:lvl>
  </w:abstractNum>
  <w:abstractNum w:abstractNumId="357">
    <w:nsid w:val="2219B33"/>
    <w:multiLevelType w:val="hybridMultilevel"/>
    <w:lvl w:ilvl="0">
      <w:lvlJc w:val="left"/>
      <w:lvlText w:val="(%1)"/>
      <w:numFmt w:val="upperLetter"/>
      <w:start w:val="1"/>
    </w:lvl>
  </w:abstractNum>
  <w:abstractNum w:abstractNumId="358">
    <w:nsid w:val="773BFBDD"/>
    <w:multiLevelType w:val="hybridMultilevel"/>
    <w:lvl w:ilvl="0">
      <w:lvlJc w:val="left"/>
      <w:lvlText w:val="(%1)"/>
      <w:numFmt w:val="decimal"/>
      <w:start w:val="5"/>
    </w:lvl>
  </w:abstractNum>
  <w:abstractNum w:abstractNumId="359">
    <w:nsid w:val="2C7C62C2"/>
    <w:multiLevelType w:val="hybridMultilevel"/>
    <w:lvl w:ilvl="0">
      <w:lvlJc w:val="left"/>
      <w:lvlText w:val="(%1)"/>
      <w:numFmt w:val="lowerLetter"/>
      <w:start w:val="1"/>
    </w:lvl>
  </w:abstractNum>
  <w:abstractNum w:abstractNumId="360">
    <w:nsid w:val="1A54D7BC"/>
    <w:multiLevelType w:val="hybridMultilevel"/>
    <w:lvl w:ilvl="0">
      <w:lvlJc w:val="left"/>
      <w:lvlText w:val="(%1)"/>
      <w:numFmt w:val="lowerLetter"/>
      <w:start w:val="3"/>
    </w:lvl>
  </w:abstractNum>
  <w:abstractNum w:abstractNumId="361">
    <w:nsid w:val="42E57EF7"/>
    <w:multiLevelType w:val="hybridMultilevel"/>
    <w:lvl w:ilvl="0">
      <w:lvlJc w:val="left"/>
      <w:lvlText w:val="(%1)"/>
      <w:numFmt w:val="lowerLetter"/>
      <w:start w:val="1"/>
    </w:lvl>
  </w:abstractNum>
  <w:abstractNum w:abstractNumId="362">
    <w:nsid w:val="33537CED"/>
    <w:multiLevelType w:val="hybridMultilevel"/>
    <w:lvl w:ilvl="0">
      <w:lvlJc w:val="left"/>
      <w:lvlText w:val="%1."/>
      <w:numFmt w:val="decimal"/>
      <w:start w:val="1"/>
    </w:lvl>
  </w:abstractNum>
  <w:abstractNum w:abstractNumId="363">
    <w:nsid w:val="27514ADE"/>
    <w:multiLevelType w:val="hybridMultilevel"/>
    <w:lvl w:ilvl="0">
      <w:lvlJc w:val="left"/>
      <w:lvlText w:val="%1."/>
      <w:numFmt w:val="decimal"/>
      <w:start w:val="3"/>
    </w:lvl>
    <w:lvl w:ilvl="1">
      <w:lvlJc w:val="left"/>
      <w:lvlText w:val="(%2)"/>
      <w:numFmt w:val="lowerLetter"/>
      <w:start w:val="1"/>
    </w:lvl>
  </w:abstractNum>
  <w:abstractNum w:abstractNumId="364">
    <w:nsid w:val="57071613"/>
    <w:multiLevelType w:val="hybridMultilevel"/>
    <w:lvl w:ilvl="0">
      <w:lvlJc w:val="left"/>
      <w:lvlText w:val="(%1)"/>
      <w:numFmt w:val="lowerLetter"/>
      <w:start w:val="6"/>
    </w:lvl>
  </w:abstractNum>
  <w:abstractNum w:abstractNumId="365">
    <w:nsid w:val="5293BFEF"/>
    <w:multiLevelType w:val="hybridMultilevel"/>
    <w:lvl w:ilvl="0">
      <w:lvlJc w:val="left"/>
      <w:lvlText w:val="(%1)"/>
      <w:numFmt w:val="lowerLetter"/>
      <w:start w:val="7"/>
    </w:lvl>
  </w:abstractNum>
  <w:abstractNum w:abstractNumId="366">
    <w:nsid w:val="38BF53E5"/>
    <w:multiLevelType w:val="hybridMultilevel"/>
    <w:lvl w:ilvl="0">
      <w:lvlJc w:val="left"/>
      <w:lvlText w:val="%1."/>
      <w:numFmt w:val="decimal"/>
      <w:start w:val="5"/>
    </w:lvl>
  </w:abstractNum>
  <w:abstractNum w:abstractNumId="367">
    <w:nsid w:val="226F5320"/>
    <w:multiLevelType w:val="hybridMultilevel"/>
    <w:lvl w:ilvl="0">
      <w:lvlJc w:val="left"/>
      <w:lvlText w:val="%1."/>
      <w:numFmt w:val="decimal"/>
      <w:start w:val="6"/>
    </w:lvl>
  </w:abstractNum>
  <w:abstractNum w:abstractNumId="368">
    <w:nsid w:val="5A0201C7"/>
    <w:multiLevelType w:val="hybridMultilevel"/>
    <w:lvl w:ilvl="0">
      <w:lvlJc w:val="left"/>
      <w:lvlText w:val="%1."/>
      <w:numFmt w:val="decimal"/>
      <w:start w:val="7"/>
    </w:lvl>
  </w:abstractNum>
  <w:abstractNum w:abstractNumId="369">
    <w:nsid w:val="2A9C34E2"/>
    <w:multiLevelType w:val="hybridMultilevel"/>
    <w:lvl w:ilvl="0">
      <w:lvlJc w:val="left"/>
      <w:lvlText w:val="%1."/>
      <w:numFmt w:val="decimal"/>
      <w:start w:val="9"/>
    </w:lvl>
  </w:abstractNum>
  <w:abstractNum w:abstractNumId="370">
    <w:nsid w:val="1B7585AB"/>
    <w:multiLevelType w:val="hybridMultilevel"/>
    <w:lvl w:ilvl="0">
      <w:lvlJc w:val="left"/>
      <w:lvlText w:val="%1."/>
      <w:numFmt w:val="decimal"/>
      <w:start w:val="13"/>
    </w:lvl>
  </w:abstractNum>
  <w:abstractNum w:abstractNumId="371">
    <w:nsid w:val="612DBDDD"/>
    <w:multiLevelType w:val="hybridMultilevel"/>
    <w:lvl w:ilvl="0">
      <w:lvlJc w:val="left"/>
      <w:lvlText w:val="•"/>
      <w:numFmt w:val="bullet"/>
      <w:start w:val="1"/>
    </w:lvl>
  </w:abstractNum>
  <w:abstractNum w:abstractNumId="372">
    <w:nsid w:val="2109CDA4"/>
    <w:multiLevelType w:val="hybridMultilevel"/>
    <w:lvl w:ilvl="0">
      <w:lvlJc w:val="left"/>
      <w:lvlText w:val="1"/>
      <w:numFmt w:val="bullet"/>
      <w:start w:val="1"/>
    </w:lvl>
  </w:abstractNum>
  <w:abstractNum w:abstractNumId="373">
    <w:nsid w:val="577F5A4D"/>
    <w:multiLevelType w:val="hybridMultilevel"/>
    <w:lvl w:ilvl="0">
      <w:lvlJc w:val="left"/>
      <w:lvlText w:val="(%1)"/>
      <w:numFmt w:val="decimal"/>
      <w:start w:val="646"/>
    </w:lvl>
  </w:abstractNum>
  <w:abstractNum w:abstractNumId="374">
    <w:nsid w:val="2121A81"/>
    <w:multiLevelType w:val="hybridMultilevel"/>
    <w:lvl w:ilvl="0">
      <w:lvlJc w:val="left"/>
      <w:lvlText w:val="(%1)"/>
      <w:numFmt w:val="decimal"/>
      <w:start w:val="212"/>
    </w:lvl>
  </w:abstractNum>
  <w:abstractNum w:abstractNumId="375">
    <w:nsid w:val="6C2CFC88"/>
    <w:multiLevelType w:val="hybridMultilevel"/>
    <w:lvl w:ilvl="0">
      <w:lvlJc w:val="left"/>
      <w:lvlText w:val="(%1)"/>
      <w:numFmt w:val="decimal"/>
      <w:start w:val="9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2022-07-05T07:31:07Z</dcterms:created>
  <dcterms:modified xsi:type="dcterms:W3CDTF">2022-07-05T07:31:07Z</dcterms:modified>
</cp:coreProperties>
</file>